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651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11"/>
        <w:gridCol w:w="5985"/>
        <w:gridCol w:w="1055"/>
      </w:tblGrid>
      <w:tr w:rsidR="00EF5515" w:rsidRPr="00A875BB" w:rsidTr="003053F4">
        <w:trPr>
          <w:trHeight w:val="2538"/>
          <w:jc w:val="center"/>
        </w:trPr>
        <w:tc>
          <w:tcPr>
            <w:tcW w:w="1611" w:type="dxa"/>
          </w:tcPr>
          <w:p w:rsidR="00EF5515" w:rsidRPr="00555C98" w:rsidRDefault="00EF5515" w:rsidP="003053F4">
            <w:pPr>
              <w:pStyle w:val="13Subttulo"/>
              <w:spacing w:before="0" w:after="0" w:line="240" w:lineRule="auto"/>
              <w:ind w:firstLine="0"/>
              <w:rPr>
                <w:rFonts w:ascii="Times New Roman" w:hAnsi="Times New Roman"/>
                <w:b w:val="0"/>
                <w:color w:val="FF0000"/>
                <w:sz w:val="32"/>
                <w:szCs w:val="32"/>
              </w:rPr>
            </w:pPr>
          </w:p>
        </w:tc>
        <w:tc>
          <w:tcPr>
            <w:tcW w:w="5985" w:type="dxa"/>
          </w:tcPr>
          <w:p w:rsidR="00EF5515" w:rsidRPr="00555C98" w:rsidRDefault="00EF5515" w:rsidP="003053F4">
            <w:pPr>
              <w:pStyle w:val="13Subttulo"/>
              <w:spacing w:before="0" w:after="0" w:line="240" w:lineRule="auto"/>
              <w:ind w:firstLine="0"/>
              <w:rPr>
                <w:rFonts w:ascii="Times New Roman" w:hAnsi="Times New Roman"/>
                <w:b w:val="0"/>
                <w:color w:val="FF0000"/>
                <w:sz w:val="32"/>
                <w:szCs w:val="32"/>
              </w:rPr>
            </w:pPr>
            <w:r>
              <w:rPr>
                <w:rFonts w:ascii="Times New Roman" w:hAnsi="Times New Roman"/>
                <w:b w:val="0"/>
                <w:color w:val="FF0000"/>
                <w:sz w:val="32"/>
                <w:szCs w:val="32"/>
              </w:rPr>
              <w:t xml:space="preserve"> </w:t>
            </w:r>
          </w:p>
        </w:tc>
        <w:tc>
          <w:tcPr>
            <w:tcW w:w="1055" w:type="dxa"/>
          </w:tcPr>
          <w:p w:rsidR="00EF5515" w:rsidRPr="00555C98" w:rsidRDefault="00EF5515" w:rsidP="003053F4">
            <w:pPr>
              <w:pStyle w:val="13Subttulo"/>
              <w:spacing w:before="0" w:after="0" w:line="240" w:lineRule="auto"/>
              <w:ind w:firstLine="0"/>
              <w:rPr>
                <w:rFonts w:ascii="Times New Roman" w:hAnsi="Times New Roman"/>
                <w:b w:val="0"/>
                <w:color w:val="FF0000"/>
                <w:sz w:val="32"/>
                <w:szCs w:val="32"/>
              </w:rPr>
            </w:pPr>
            <w:r>
              <w:rPr>
                <w:rFonts w:ascii="Times New Roman" w:hAnsi="Times New Roman"/>
                <w:b w:val="0"/>
                <w:color w:val="FF0000"/>
                <w:sz w:val="32"/>
                <w:szCs w:val="32"/>
              </w:rPr>
              <w:t xml:space="preserve"> </w:t>
            </w:r>
          </w:p>
        </w:tc>
      </w:tr>
      <w:tr w:rsidR="00EF5515" w:rsidRPr="003E667F" w:rsidTr="003053F4">
        <w:trPr>
          <w:trHeight w:val="3167"/>
          <w:jc w:val="center"/>
        </w:trPr>
        <w:tc>
          <w:tcPr>
            <w:tcW w:w="1611" w:type="dxa"/>
          </w:tcPr>
          <w:p w:rsidR="00EF5515" w:rsidRPr="00555C98" w:rsidRDefault="00EF5515" w:rsidP="003053F4">
            <w:pPr>
              <w:pStyle w:val="13Subttulo"/>
              <w:spacing w:before="0" w:after="0" w:line="240" w:lineRule="auto"/>
              <w:ind w:firstLine="0"/>
              <w:jc w:val="center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 xml:space="preserve"> </w:t>
            </w:r>
          </w:p>
        </w:tc>
        <w:tc>
          <w:tcPr>
            <w:tcW w:w="5985" w:type="dxa"/>
            <w:vAlign w:val="center"/>
          </w:tcPr>
          <w:p w:rsidR="00EF5515" w:rsidRPr="00AC53C3" w:rsidRDefault="00D22C65" w:rsidP="003053F4">
            <w:pPr>
              <w:ind w:left="-72" w:right="-58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sz w:val="28"/>
                <w:szCs w:val="28"/>
              </w:rPr>
              <w:t>ASSOCIAÇÃO BRASILEIRA DE CAPTADORES DE RECURSOS</w:t>
            </w:r>
          </w:p>
          <w:p w:rsidR="00EF5515" w:rsidRPr="00301ADA" w:rsidRDefault="003053F4" w:rsidP="003053F4">
            <w:pPr>
              <w:widowControl w:val="0"/>
              <w:ind w:left="-72" w:right="-58"/>
              <w:jc w:val="center"/>
              <w:rPr>
                <w:bCs/>
                <w:szCs w:val="26"/>
              </w:rPr>
            </w:pPr>
            <w:r>
              <w:rPr>
                <w:bCs/>
                <w:szCs w:val="26"/>
              </w:rPr>
              <w:t xml:space="preserve">CNPJ </w:t>
            </w:r>
            <w:r w:rsidR="00D22C65">
              <w:rPr>
                <w:bCs/>
                <w:szCs w:val="26"/>
              </w:rPr>
              <w:t>04.062.541/0001-03</w:t>
            </w:r>
          </w:p>
          <w:p w:rsidR="00EF5515" w:rsidRDefault="00EF5515" w:rsidP="003053F4">
            <w:pPr>
              <w:ind w:left="-72" w:right="-58"/>
              <w:jc w:val="center"/>
              <w:rPr>
                <w:sz w:val="36"/>
                <w:szCs w:val="36"/>
              </w:rPr>
            </w:pPr>
          </w:p>
          <w:p w:rsidR="00EF5515" w:rsidRPr="003E667F" w:rsidRDefault="00EF5515" w:rsidP="00CC7777">
            <w:pPr>
              <w:ind w:left="-72" w:right="-58"/>
              <w:jc w:val="center"/>
              <w:rPr>
                <w:b/>
              </w:rPr>
            </w:pPr>
            <w:r w:rsidRPr="00AC53C3">
              <w:rPr>
                <w:sz w:val="36"/>
                <w:szCs w:val="36"/>
              </w:rPr>
              <w:t xml:space="preserve">Demonstrações </w:t>
            </w:r>
            <w:r w:rsidR="006F401C">
              <w:rPr>
                <w:sz w:val="36"/>
                <w:szCs w:val="36"/>
              </w:rPr>
              <w:t>contábeis</w:t>
            </w:r>
            <w:r w:rsidRPr="00AC53C3">
              <w:rPr>
                <w:sz w:val="36"/>
                <w:szCs w:val="36"/>
              </w:rPr>
              <w:t xml:space="preserve"> em</w:t>
            </w:r>
            <w:r w:rsidRPr="00AC53C3">
              <w:rPr>
                <w:sz w:val="36"/>
                <w:szCs w:val="36"/>
              </w:rPr>
              <w:br/>
              <w:t>31 de dezembro de 201</w:t>
            </w:r>
            <w:r w:rsidR="00CC7777">
              <w:rPr>
                <w:sz w:val="36"/>
                <w:szCs w:val="36"/>
              </w:rPr>
              <w:t>6</w:t>
            </w:r>
            <w:r w:rsidRPr="00AC53C3">
              <w:rPr>
                <w:sz w:val="36"/>
                <w:szCs w:val="36"/>
              </w:rPr>
              <w:t xml:space="preserve"> e 201</w:t>
            </w:r>
            <w:r w:rsidR="00CC7777">
              <w:rPr>
                <w:sz w:val="36"/>
                <w:szCs w:val="36"/>
              </w:rPr>
              <w:t>5</w:t>
            </w:r>
          </w:p>
        </w:tc>
        <w:tc>
          <w:tcPr>
            <w:tcW w:w="1055" w:type="dxa"/>
            <w:tcBorders>
              <w:left w:val="nil"/>
            </w:tcBorders>
          </w:tcPr>
          <w:p w:rsidR="00EF5515" w:rsidRPr="00555C98" w:rsidRDefault="00EF5515" w:rsidP="003053F4">
            <w:pPr>
              <w:pStyle w:val="13Subttulo"/>
              <w:spacing w:before="0" w:after="0" w:line="240" w:lineRule="auto"/>
              <w:ind w:firstLine="0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 xml:space="preserve"> </w:t>
            </w:r>
          </w:p>
        </w:tc>
      </w:tr>
      <w:tr w:rsidR="00EF5515" w:rsidRPr="003E667F" w:rsidTr="003053F4">
        <w:trPr>
          <w:trHeight w:hRule="exact" w:val="2000"/>
          <w:jc w:val="center"/>
        </w:trPr>
        <w:tc>
          <w:tcPr>
            <w:tcW w:w="1611" w:type="dxa"/>
          </w:tcPr>
          <w:p w:rsidR="00EF5515" w:rsidRPr="00555C98" w:rsidRDefault="00EF5515" w:rsidP="003053F4">
            <w:pPr>
              <w:pStyle w:val="13Subttulo"/>
              <w:spacing w:before="0" w:after="0" w:line="240" w:lineRule="auto"/>
              <w:ind w:firstLine="0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 xml:space="preserve"> </w:t>
            </w:r>
          </w:p>
        </w:tc>
        <w:tc>
          <w:tcPr>
            <w:tcW w:w="5985" w:type="dxa"/>
          </w:tcPr>
          <w:p w:rsidR="00EF5515" w:rsidRPr="00555C98" w:rsidRDefault="00EF5515" w:rsidP="003053F4">
            <w:pPr>
              <w:pStyle w:val="13Subttulo"/>
              <w:spacing w:before="0" w:after="0" w:line="240" w:lineRule="auto"/>
              <w:ind w:firstLine="0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 xml:space="preserve"> </w:t>
            </w:r>
          </w:p>
        </w:tc>
        <w:tc>
          <w:tcPr>
            <w:tcW w:w="1055" w:type="dxa"/>
          </w:tcPr>
          <w:p w:rsidR="00EF5515" w:rsidRPr="00555C98" w:rsidRDefault="00EF5515" w:rsidP="003053F4">
            <w:pPr>
              <w:pStyle w:val="13Subttulo"/>
              <w:spacing w:before="0" w:after="0" w:line="240" w:lineRule="auto"/>
              <w:ind w:firstLine="0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 xml:space="preserve"> </w:t>
            </w:r>
          </w:p>
        </w:tc>
      </w:tr>
    </w:tbl>
    <w:p w:rsidR="00EF5515" w:rsidRDefault="00EF5515" w:rsidP="00D6112A">
      <w:pPr>
        <w:rPr>
          <w:b/>
          <w:sz w:val="28"/>
          <w:szCs w:val="28"/>
        </w:rPr>
        <w:sectPr w:rsidR="00EF5515" w:rsidSect="007F192C">
          <w:headerReference w:type="default" r:id="rId8"/>
          <w:footerReference w:type="default" r:id="rId9"/>
          <w:pgSz w:w="11906" w:h="16838"/>
          <w:pgMar w:top="1811" w:right="1701" w:bottom="1134" w:left="1701" w:header="709" w:footer="709" w:gutter="0"/>
          <w:cols w:space="708"/>
          <w:docGrid w:linePitch="360"/>
        </w:sectPr>
      </w:pPr>
    </w:p>
    <w:p w:rsidR="009019C3" w:rsidRDefault="009019C3">
      <w:pPr>
        <w:spacing w:after="0" w:line="240" w:lineRule="auto"/>
        <w:rPr>
          <w:b/>
          <w:sz w:val="28"/>
          <w:szCs w:val="28"/>
        </w:rPr>
      </w:pPr>
    </w:p>
    <w:p w:rsidR="00EF5515" w:rsidRDefault="009019C3">
      <w:pPr>
        <w:spacing w:after="0" w:line="240" w:lineRule="auto"/>
        <w:rPr>
          <w:b/>
          <w:sz w:val="28"/>
          <w:szCs w:val="28"/>
        </w:rPr>
        <w:sectPr w:rsidR="00EF5515" w:rsidSect="007F192C">
          <w:pgSz w:w="16838" w:h="11906" w:orient="landscape"/>
          <w:pgMar w:top="1555" w:right="1418" w:bottom="1701" w:left="1418" w:header="709" w:footer="709" w:gutter="0"/>
          <w:cols w:space="708"/>
          <w:docGrid w:linePitch="360"/>
        </w:sectPr>
      </w:pPr>
      <w:r w:rsidRPr="009019C3">
        <w:rPr>
          <w:noProof/>
        </w:rPr>
        <w:drawing>
          <wp:inline distT="0" distB="0" distL="0" distR="0">
            <wp:extent cx="8891270" cy="4749810"/>
            <wp:effectExtent l="0" t="0" r="0" b="0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474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515" w:rsidRDefault="00EF5515">
      <w:pPr>
        <w:spacing w:after="0" w:line="240" w:lineRule="auto"/>
        <w:rPr>
          <w:b/>
          <w:noProof/>
          <w:sz w:val="28"/>
          <w:szCs w:val="28"/>
          <w:lang w:eastAsia="pt-BR"/>
        </w:rPr>
      </w:pPr>
    </w:p>
    <w:p w:rsidR="009019C3" w:rsidRDefault="009019C3">
      <w:pPr>
        <w:spacing w:after="0" w:line="240" w:lineRule="auto"/>
        <w:rPr>
          <w:b/>
          <w:sz w:val="28"/>
          <w:szCs w:val="28"/>
        </w:rPr>
      </w:pPr>
      <w:r w:rsidRPr="009019C3">
        <w:rPr>
          <w:noProof/>
        </w:rPr>
        <w:drawing>
          <wp:inline distT="0" distB="0" distL="0" distR="0">
            <wp:extent cx="5400040" cy="5310039"/>
            <wp:effectExtent l="0" t="0" r="0" b="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310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A02" w:rsidRDefault="00166A02">
      <w:pPr>
        <w:spacing w:after="0" w:line="240" w:lineRule="auto"/>
      </w:pPr>
    </w:p>
    <w:p w:rsidR="00EF5515" w:rsidRDefault="00EF5515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EF5515" w:rsidRDefault="00EF5515">
      <w:pPr>
        <w:spacing w:after="0" w:line="240" w:lineRule="auto"/>
        <w:rPr>
          <w:b/>
          <w:sz w:val="28"/>
          <w:szCs w:val="28"/>
        </w:rPr>
      </w:pPr>
    </w:p>
    <w:p w:rsidR="001A4B18" w:rsidRDefault="001A4B18">
      <w:pPr>
        <w:spacing w:after="0" w:line="240" w:lineRule="auto"/>
        <w:rPr>
          <w:b/>
          <w:sz w:val="28"/>
          <w:szCs w:val="28"/>
        </w:rPr>
      </w:pPr>
    </w:p>
    <w:p w:rsidR="00916D04" w:rsidRDefault="009019C3">
      <w:pPr>
        <w:rPr>
          <w:b/>
          <w:sz w:val="28"/>
          <w:szCs w:val="28"/>
        </w:rPr>
      </w:pPr>
      <w:r w:rsidRPr="009019C3">
        <w:rPr>
          <w:noProof/>
        </w:rPr>
        <w:drawing>
          <wp:inline distT="0" distB="0" distL="0" distR="0">
            <wp:extent cx="5286375" cy="4267200"/>
            <wp:effectExtent l="0" t="0" r="0" b="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19C3">
        <w:t xml:space="preserve"> </w:t>
      </w:r>
      <w:r w:rsidR="00916D04">
        <w:rPr>
          <w:b/>
          <w:sz w:val="28"/>
          <w:szCs w:val="28"/>
        </w:rPr>
        <w:br w:type="page"/>
      </w:r>
    </w:p>
    <w:p w:rsidR="009019C3" w:rsidRDefault="009019C3">
      <w:pPr>
        <w:spacing w:after="0" w:line="240" w:lineRule="auto"/>
        <w:rPr>
          <w:b/>
          <w:noProof/>
          <w:sz w:val="28"/>
          <w:szCs w:val="28"/>
          <w:lang w:eastAsia="pt-BR"/>
        </w:rPr>
      </w:pPr>
    </w:p>
    <w:p w:rsidR="00EF5515" w:rsidRDefault="009019C3">
      <w:pPr>
        <w:spacing w:after="0" w:line="240" w:lineRule="auto"/>
        <w:rPr>
          <w:b/>
          <w:sz w:val="28"/>
          <w:szCs w:val="28"/>
        </w:rPr>
      </w:pPr>
      <w:r w:rsidRPr="009019C3">
        <w:rPr>
          <w:noProof/>
        </w:rPr>
        <w:drawing>
          <wp:inline distT="0" distB="0" distL="0" distR="0">
            <wp:extent cx="5295900" cy="6391275"/>
            <wp:effectExtent l="0" t="0" r="0" b="0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639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19C3">
        <w:t xml:space="preserve"> </w:t>
      </w:r>
      <w:r w:rsidR="00EF5515">
        <w:rPr>
          <w:b/>
          <w:sz w:val="28"/>
          <w:szCs w:val="28"/>
        </w:rPr>
        <w:br w:type="page"/>
      </w:r>
    </w:p>
    <w:p w:rsidR="00D83C87" w:rsidRDefault="00D83C87" w:rsidP="006F401C">
      <w:pPr>
        <w:spacing w:after="0" w:line="240" w:lineRule="auto"/>
        <w:rPr>
          <w:b/>
          <w:sz w:val="26"/>
          <w:szCs w:val="26"/>
        </w:rPr>
      </w:pPr>
    </w:p>
    <w:p w:rsidR="00D83C87" w:rsidRDefault="00D83C87" w:rsidP="006F401C">
      <w:pPr>
        <w:spacing w:after="0" w:line="240" w:lineRule="auto"/>
        <w:rPr>
          <w:b/>
          <w:sz w:val="26"/>
          <w:szCs w:val="26"/>
        </w:rPr>
      </w:pPr>
    </w:p>
    <w:p w:rsidR="00D6112A" w:rsidRPr="00F52174" w:rsidRDefault="00D6112A" w:rsidP="006F401C">
      <w:pPr>
        <w:spacing w:after="0" w:line="240" w:lineRule="auto"/>
        <w:rPr>
          <w:b/>
          <w:sz w:val="26"/>
          <w:szCs w:val="26"/>
        </w:rPr>
      </w:pPr>
      <w:r w:rsidRPr="00F52174">
        <w:rPr>
          <w:b/>
          <w:sz w:val="26"/>
          <w:szCs w:val="26"/>
        </w:rPr>
        <w:t>NOTAS EXPLICATI</w:t>
      </w:r>
      <w:r w:rsidR="00166A02">
        <w:rPr>
          <w:b/>
          <w:sz w:val="26"/>
          <w:szCs w:val="26"/>
        </w:rPr>
        <w:t>VAS ÀS DEMONSTRAÇÕES CONTÁBEIS</w:t>
      </w:r>
    </w:p>
    <w:p w:rsidR="00D6112A" w:rsidRPr="00F52174" w:rsidRDefault="00D6112A" w:rsidP="006F401C">
      <w:pPr>
        <w:spacing w:after="0" w:line="240" w:lineRule="auto"/>
        <w:rPr>
          <w:b/>
          <w:sz w:val="26"/>
          <w:szCs w:val="26"/>
        </w:rPr>
      </w:pPr>
      <w:r w:rsidRPr="00F52174">
        <w:rPr>
          <w:b/>
          <w:sz w:val="26"/>
          <w:szCs w:val="26"/>
        </w:rPr>
        <w:t>EM 31 DE DEZEMBRO DE 201</w:t>
      </w:r>
      <w:r w:rsidR="00CC7777">
        <w:rPr>
          <w:b/>
          <w:sz w:val="26"/>
          <w:szCs w:val="26"/>
        </w:rPr>
        <w:t>6</w:t>
      </w:r>
      <w:r w:rsidR="009A1B1F" w:rsidRPr="00F52174">
        <w:rPr>
          <w:b/>
          <w:sz w:val="26"/>
          <w:szCs w:val="26"/>
        </w:rPr>
        <w:t xml:space="preserve"> E 201</w:t>
      </w:r>
      <w:r w:rsidR="00CC7777">
        <w:rPr>
          <w:b/>
          <w:sz w:val="26"/>
          <w:szCs w:val="26"/>
        </w:rPr>
        <w:t>5</w:t>
      </w:r>
    </w:p>
    <w:p w:rsidR="00D6112A" w:rsidRDefault="00D6112A" w:rsidP="00D6112A">
      <w:r>
        <w:t>(Valores expressos em reais</w:t>
      </w:r>
      <w:r w:rsidR="00232099">
        <w:t xml:space="preserve"> – centavos suprimidos</w:t>
      </w:r>
      <w:r>
        <w:t>)</w:t>
      </w:r>
    </w:p>
    <w:p w:rsidR="00D6112A" w:rsidRPr="009C4DFE" w:rsidRDefault="00532B4D" w:rsidP="00D6112A">
      <w:pPr>
        <w:rPr>
          <w:b/>
          <w:sz w:val="28"/>
          <w:szCs w:val="28"/>
        </w:rPr>
      </w:pPr>
      <w:r w:rsidRPr="009C4DFE">
        <w:rPr>
          <w:b/>
          <w:sz w:val="28"/>
          <w:szCs w:val="28"/>
        </w:rPr>
        <w:t xml:space="preserve">1. </w:t>
      </w:r>
      <w:r w:rsidR="00D6112A" w:rsidRPr="009C4DFE">
        <w:rPr>
          <w:b/>
          <w:sz w:val="28"/>
          <w:szCs w:val="28"/>
        </w:rPr>
        <w:t>Contexto Operacional</w:t>
      </w:r>
    </w:p>
    <w:p w:rsidR="006724F9" w:rsidRPr="006724F9" w:rsidRDefault="006724F9" w:rsidP="006724F9">
      <w:pPr>
        <w:shd w:val="clear" w:color="auto" w:fill="FFFFFF"/>
        <w:spacing w:line="240" w:lineRule="auto"/>
        <w:textAlignment w:val="baseline"/>
        <w:rPr>
          <w:rFonts w:cs="Calibri"/>
        </w:rPr>
      </w:pPr>
      <w:r w:rsidRPr="006724F9">
        <w:rPr>
          <w:rFonts w:cs="Calibri"/>
        </w:rPr>
        <w:t>A ABCR – Associação Brasileira de Captadores de Recursos é uma organização sem fins lucrativos composta por captadores e mobilizadores de recursos e que tem como principal objetivo estabelecer uma ampla rede nacional, fortalecendo os laços entre os profissionais que atuam na área e propiciando condições para o intercâmbio técnico, a troca de experiências e o desenvolvimento comum da profissão.</w:t>
      </w:r>
    </w:p>
    <w:p w:rsidR="006724F9" w:rsidRPr="006724F9" w:rsidRDefault="006724F9" w:rsidP="006724F9">
      <w:pPr>
        <w:shd w:val="clear" w:color="auto" w:fill="FFFFFF"/>
        <w:spacing w:line="240" w:lineRule="auto"/>
        <w:textAlignment w:val="baseline"/>
        <w:rPr>
          <w:rFonts w:cs="Calibri"/>
        </w:rPr>
      </w:pPr>
      <w:r w:rsidRPr="006724F9">
        <w:rPr>
          <w:rFonts w:cs="Calibri"/>
        </w:rPr>
        <w:t>Criada em 1999, a ABCR tem como missão promover, desenvolver e qualificar a atividade de captação de recursos, vista hoje como um dos grandes desafios do Terceiro Setor. Entre suas principais metas, destacam-se a de trabalhar para assegurar a credibilidade e representatividade da profissão e a de apoiar, indiretamente, organizações sociais na importante tarefa de construir uma sociedade mais justa.</w:t>
      </w:r>
    </w:p>
    <w:p w:rsidR="006724F9" w:rsidRPr="006724F9" w:rsidRDefault="006724F9" w:rsidP="006724F9">
      <w:pPr>
        <w:shd w:val="clear" w:color="auto" w:fill="FFFFFF"/>
        <w:spacing w:line="240" w:lineRule="auto"/>
        <w:textAlignment w:val="baseline"/>
        <w:rPr>
          <w:rFonts w:cs="Calibri"/>
        </w:rPr>
      </w:pPr>
      <w:r w:rsidRPr="006724F9">
        <w:rPr>
          <w:rFonts w:cs="Calibri"/>
        </w:rPr>
        <w:t>Atualmente, são mais de 400 os associados da ABCR, individuais e sócios mantenedores (organizações da sociedade civil ou empresas), espalhados por todo o país. Ao se integrar à ABCR, todos os associados assumem o compromisso de honrar e difundir o </w:t>
      </w:r>
      <w:hyperlink r:id="rId14" w:history="1">
        <w:r w:rsidRPr="006724F9">
          <w:rPr>
            <w:rFonts w:cs="Calibri"/>
          </w:rPr>
          <w:t>Código de Ética e Conduta Profissional do Captador</w:t>
        </w:r>
      </w:hyperlink>
      <w:r w:rsidRPr="006724F9">
        <w:rPr>
          <w:rFonts w:cs="Calibri"/>
        </w:rPr>
        <w:t>, que é um documento maior de orientação do trabalho profissional de captação de recursos no mundo. Podem se associar tanto captadores de recursos pessoa física como pessoa jurídica (entidades privadas e organizações sociais), sendo que neste último caso sem direito a voto nas Assembleias.</w:t>
      </w:r>
    </w:p>
    <w:p w:rsidR="006724F9" w:rsidRPr="006724F9" w:rsidRDefault="006724F9" w:rsidP="006724F9">
      <w:pPr>
        <w:shd w:val="clear" w:color="auto" w:fill="FFFFFF"/>
        <w:spacing w:line="240" w:lineRule="auto"/>
        <w:textAlignment w:val="baseline"/>
        <w:rPr>
          <w:rFonts w:cs="Calibri"/>
        </w:rPr>
      </w:pPr>
      <w:r w:rsidRPr="006724F9">
        <w:rPr>
          <w:rFonts w:cs="Calibri"/>
        </w:rPr>
        <w:t>A ABCR é gerida pelo seu </w:t>
      </w:r>
      <w:hyperlink r:id="rId15" w:history="1">
        <w:r w:rsidRPr="006724F9">
          <w:rPr>
            <w:rFonts w:cs="Calibri"/>
          </w:rPr>
          <w:t>Conselho Deliberativo</w:t>
        </w:r>
      </w:hyperlink>
      <w:r w:rsidRPr="006724F9">
        <w:rPr>
          <w:rFonts w:cs="Calibri"/>
        </w:rPr>
        <w:t>, e administrada por uma </w:t>
      </w:r>
      <w:hyperlink r:id="rId16" w:history="1">
        <w:r w:rsidRPr="006724F9">
          <w:rPr>
            <w:rFonts w:cs="Calibri"/>
          </w:rPr>
          <w:t>Equipe Executiva</w:t>
        </w:r>
      </w:hyperlink>
      <w:r w:rsidRPr="006724F9">
        <w:rPr>
          <w:rFonts w:cs="Calibri"/>
        </w:rPr>
        <w:t>, com base nas definições estabelecidas pelo seu </w:t>
      </w:r>
      <w:hyperlink r:id="rId17" w:history="1">
        <w:r w:rsidRPr="006724F9">
          <w:rPr>
            <w:rFonts w:cs="Calibri"/>
          </w:rPr>
          <w:t>Estatuto Social</w:t>
        </w:r>
      </w:hyperlink>
      <w:r w:rsidRPr="006724F9">
        <w:rPr>
          <w:rFonts w:cs="Calibri"/>
        </w:rPr>
        <w:t>. A sede nacional da ABCR fica em São Paulo.</w:t>
      </w:r>
    </w:p>
    <w:p w:rsidR="00D6112A" w:rsidRPr="009C4DFE" w:rsidRDefault="00D6112A" w:rsidP="00D6112A">
      <w:pPr>
        <w:rPr>
          <w:b/>
          <w:sz w:val="28"/>
          <w:szCs w:val="28"/>
        </w:rPr>
      </w:pPr>
      <w:r w:rsidRPr="009C4DFE">
        <w:rPr>
          <w:b/>
          <w:sz w:val="28"/>
          <w:szCs w:val="28"/>
        </w:rPr>
        <w:t>2. Apresentação das demonstrações contábeis</w:t>
      </w:r>
    </w:p>
    <w:p w:rsidR="00D6112A" w:rsidRPr="009C4DFE" w:rsidRDefault="00D6112A" w:rsidP="00D6112A">
      <w:pPr>
        <w:rPr>
          <w:u w:val="single"/>
        </w:rPr>
      </w:pPr>
      <w:r w:rsidRPr="009C4DFE">
        <w:rPr>
          <w:u w:val="single"/>
        </w:rPr>
        <w:t>Base de apresentação das demonstrações contábeis</w:t>
      </w:r>
    </w:p>
    <w:p w:rsidR="00D6112A" w:rsidRPr="00D6112A" w:rsidRDefault="00D6112A" w:rsidP="00D6112A">
      <w:pPr>
        <w:rPr>
          <w:u w:val="single"/>
        </w:rPr>
      </w:pPr>
      <w:r w:rsidRPr="00D6112A">
        <w:rPr>
          <w:u w:val="single"/>
        </w:rPr>
        <w:t>Declaração de conformidade</w:t>
      </w:r>
    </w:p>
    <w:p w:rsidR="00D6112A" w:rsidRDefault="00D6112A" w:rsidP="00664ECB">
      <w:r>
        <w:t>As demonstrações contábeis da Entidade, findas em 31 de dezembro de 201</w:t>
      </w:r>
      <w:r w:rsidR="00CC7777">
        <w:t>6</w:t>
      </w:r>
      <w:r w:rsidR="00664ECB">
        <w:t xml:space="preserve"> e de 201</w:t>
      </w:r>
      <w:r w:rsidR="00CC7777">
        <w:t>5</w:t>
      </w:r>
      <w:r>
        <w:t>, foram preparadas de acordo com as práticas contábeis adotadas no Brasil aplicáveis as entidades sem finalidade de lucros, considerando a Norma Brasileira de Contabilidade (NBC) TG07, aprovada pela Resolução 1.305/10 do Conselho Federal de Contabilidade (CFC) e Interpretação Técnica Geral (ITG) 2002, aprovada pela Resolução CFC n° 1.409/2012</w:t>
      </w:r>
      <w:r w:rsidR="00414A36">
        <w:t xml:space="preserve"> (R1</w:t>
      </w:r>
      <w:r w:rsidR="00414A36" w:rsidRPr="00B8404E">
        <w:t>)</w:t>
      </w:r>
      <w:r w:rsidRPr="00B8404E">
        <w:t>, bem como pronunciamentos emitidos pelo Comitê de Pronunciamentos Contábeis (CPC) e aprovados pelo CFC.</w:t>
      </w:r>
    </w:p>
    <w:p w:rsidR="00D6112A" w:rsidRDefault="00D6112A" w:rsidP="00664ECB">
      <w:r w:rsidRPr="00B8404E">
        <w:t>As demonstrações dos resultados abrangentes não estão sendo apresentadas, pois não há valores a serem apresentados sobre esse conceito, ou seja, a demonstração do resultado é igual ao resultado abrangente total.</w:t>
      </w:r>
    </w:p>
    <w:p w:rsidR="007563BC" w:rsidRDefault="007563BC" w:rsidP="00D6112A">
      <w:pPr>
        <w:rPr>
          <w:u w:val="single"/>
        </w:rPr>
      </w:pPr>
    </w:p>
    <w:p w:rsidR="00D6112A" w:rsidRPr="00D6112A" w:rsidRDefault="00D6112A" w:rsidP="00D6112A">
      <w:pPr>
        <w:rPr>
          <w:u w:val="single"/>
        </w:rPr>
      </w:pPr>
      <w:r w:rsidRPr="00D6112A">
        <w:rPr>
          <w:u w:val="single"/>
        </w:rPr>
        <w:lastRenderedPageBreak/>
        <w:t>Base de mensuração</w:t>
      </w:r>
    </w:p>
    <w:p w:rsidR="00D6112A" w:rsidRDefault="00D6112A" w:rsidP="00D6112A">
      <w:r>
        <w:t>As demonstrações contábeis foram preparadas com base no custo histórico.</w:t>
      </w:r>
    </w:p>
    <w:p w:rsidR="00D6112A" w:rsidRPr="00D6112A" w:rsidRDefault="00D6112A" w:rsidP="00D6112A">
      <w:pPr>
        <w:rPr>
          <w:u w:val="single"/>
        </w:rPr>
      </w:pPr>
      <w:r w:rsidRPr="00D6112A">
        <w:rPr>
          <w:u w:val="single"/>
        </w:rPr>
        <w:t>Moeda funcional e moeda de apresentação</w:t>
      </w:r>
    </w:p>
    <w:p w:rsidR="00D6112A" w:rsidRDefault="00D6112A" w:rsidP="00664ECB">
      <w:r>
        <w:t>A moeda funcional da Entidade é o Real (R$). Todos os valores apresentados nestas demonstrações contábeis estão expressos em reais, exceto quando indicado de outra forma.</w:t>
      </w:r>
    </w:p>
    <w:p w:rsidR="00D6112A" w:rsidRPr="00D6112A" w:rsidRDefault="00D6112A" w:rsidP="00D6112A">
      <w:pPr>
        <w:rPr>
          <w:u w:val="single"/>
        </w:rPr>
      </w:pPr>
      <w:r w:rsidRPr="00D6112A">
        <w:rPr>
          <w:u w:val="single"/>
        </w:rPr>
        <w:t>Uso de estimativas e julgamentos</w:t>
      </w:r>
    </w:p>
    <w:p w:rsidR="00D6112A" w:rsidRDefault="009C4DFE" w:rsidP="00664ECB">
      <w:r>
        <w:t>As preparações das demonstrações contábeis estão</w:t>
      </w:r>
      <w:r w:rsidR="00D6112A">
        <w:t xml:space="preserve"> de acordo com as práticas contábeis adotadas no Brasil aplicáveis a entidades sem finalidade de lucros, e exigem que a Administração faça julgamentos, estimativas e premissas que afetam a aplicação de políticas contábeis e os valores reportados de ativos, passivos, receitas e despesas. Os resultados reais podem divergir dessas estimativas.</w:t>
      </w:r>
    </w:p>
    <w:p w:rsidR="00D6112A" w:rsidRDefault="00D6112A" w:rsidP="00664ECB">
      <w:r>
        <w:t xml:space="preserve">Estimativas e premissas são revistas de uma maneira contínua. Revisões com relação a estimativas contábeis são reconhecidas no período em que as estimativas são revisadas e em quaisquer períodos futuros afetados.  </w:t>
      </w:r>
    </w:p>
    <w:p w:rsidR="00D6112A" w:rsidRDefault="00D6112A" w:rsidP="00664ECB">
      <w:r>
        <w:t>Não há informações sobre julgamentos críticos referentes às políticas contábeis adotadas que apresentam efeitos sobre os valores reconhecidos nas demonstrações contábeis.</w:t>
      </w:r>
    </w:p>
    <w:p w:rsidR="00D6112A" w:rsidRPr="009C4DFE" w:rsidRDefault="00D6112A" w:rsidP="00D6112A">
      <w:pPr>
        <w:rPr>
          <w:b/>
          <w:sz w:val="28"/>
          <w:szCs w:val="28"/>
        </w:rPr>
      </w:pPr>
      <w:r w:rsidRPr="009C4DFE">
        <w:rPr>
          <w:b/>
          <w:sz w:val="28"/>
          <w:szCs w:val="28"/>
        </w:rPr>
        <w:t>3. Principais práticas contábeis</w:t>
      </w:r>
    </w:p>
    <w:p w:rsidR="00D6112A" w:rsidRDefault="00D6112A" w:rsidP="00664ECB">
      <w:r>
        <w:t>As principais práticas contábeis descritas em detalhes abaixo têm sido aplicadas de maneira consistente a todos os períodos apresentados nessas demonstrações contábeis.</w:t>
      </w:r>
    </w:p>
    <w:p w:rsidR="00D6112A" w:rsidRPr="00D6112A" w:rsidRDefault="00D6112A" w:rsidP="00D6112A">
      <w:r w:rsidRPr="00D6112A">
        <w:t>a. Instrumentos financeiros</w:t>
      </w:r>
    </w:p>
    <w:p w:rsidR="00D6112A" w:rsidRPr="00D6112A" w:rsidRDefault="00D6112A" w:rsidP="00D6112A">
      <w:pPr>
        <w:rPr>
          <w:u w:val="single"/>
        </w:rPr>
      </w:pPr>
      <w:r w:rsidRPr="00D6112A">
        <w:rPr>
          <w:u w:val="single"/>
        </w:rPr>
        <w:t>Ativos financeiros não derivativos</w:t>
      </w:r>
    </w:p>
    <w:p w:rsidR="00D6112A" w:rsidRDefault="00D6112A" w:rsidP="00664ECB">
      <w:r>
        <w:t>A Entidade reconhece os empréstimos e recebíveis e os depósitos inicialmente na data em que foram originados. Todos os outros ativos e passivos financeiros são reconhecidos inicialmente na data da negociação na qual a Entidade se torna uma das partes das disposições contratuais do instrumento.</w:t>
      </w:r>
    </w:p>
    <w:p w:rsidR="00D6112A" w:rsidRDefault="00D6112A" w:rsidP="00664ECB">
      <w:r>
        <w:t>A Entidade tem seus ativos e passivos financeiros não derivativos registrados pelo valor justo por meio do resultado.</w:t>
      </w:r>
    </w:p>
    <w:p w:rsidR="00D6112A" w:rsidRPr="00D6112A" w:rsidRDefault="00D6112A" w:rsidP="00D6112A">
      <w:pPr>
        <w:rPr>
          <w:u w:val="single"/>
        </w:rPr>
      </w:pPr>
      <w:r w:rsidRPr="00D6112A">
        <w:rPr>
          <w:u w:val="single"/>
        </w:rPr>
        <w:t>Ativos financeiros registrados pelo valor justo por meio do resultado</w:t>
      </w:r>
    </w:p>
    <w:p w:rsidR="00D6112A" w:rsidRDefault="00D6112A" w:rsidP="00664ECB">
      <w:r>
        <w:t xml:space="preserve">Um ativo financeiro é classificado pelo valor justo por meio do resultado caso seja classificado como mantido para negociação e seja designado como tal no momento do reconhecimento inicial. Os ativos financeiros são designados pelo valor justo por meio do resultado se a Entidade gerencia tais investimentos e toma decisões de compra e venda baseadas em seus valores justos de acordo com a gestão de riscos documentada e a estratégia de investimentos da Entidade. Os </w:t>
      </w:r>
      <w:r>
        <w:lastRenderedPageBreak/>
        <w:t xml:space="preserve">custos da transação, após o reconhecimento inicial, são reconhecidos no resultado como incorridos. </w:t>
      </w:r>
    </w:p>
    <w:p w:rsidR="00D6112A" w:rsidRDefault="00D6112A" w:rsidP="00664ECB">
      <w:r>
        <w:t xml:space="preserve">Ativos financeiros registrados pelo valor justo por meio do resultado são medidos pelo valor justo, e mudanças no valor justo desses ativos são reconhecidas no resultado do exercício. </w:t>
      </w:r>
    </w:p>
    <w:p w:rsidR="00D6112A" w:rsidRPr="00D6112A" w:rsidRDefault="00D6112A" w:rsidP="00D6112A">
      <w:pPr>
        <w:rPr>
          <w:u w:val="single"/>
        </w:rPr>
      </w:pPr>
      <w:r w:rsidRPr="00D6112A">
        <w:rPr>
          <w:u w:val="single"/>
        </w:rPr>
        <w:t>Passivos financeiros não derivativos</w:t>
      </w:r>
    </w:p>
    <w:p w:rsidR="00D6112A" w:rsidRDefault="00D6112A" w:rsidP="00664ECB">
      <w:r>
        <w:t xml:space="preserve">Os passivos financeiros são reconhecidos inicialmente na data de negociação na qual a Entidade se torna uma parte das disposições contratuais do instrumento. A Entidade baixa um passivo financeiro quando tem suas obrigações contratuais retiradas, canceladas ou vencidas. A Entidade tem o seguinte passivo financeiro não derivativo: fornecedores e outras contas a pagar. </w:t>
      </w:r>
    </w:p>
    <w:p w:rsidR="00D6112A" w:rsidRDefault="00D6112A" w:rsidP="00664ECB">
      <w:r>
        <w:t>Tais passivos financeiros são reconhecidos inicialmente pelo valor justo acrescido de quaisquer custos de transação atribuíveis. Após o reconhecimento inicial, esses passivos financeiros são medidos pelo custo amortizado pelo método dos juros efetivos.</w:t>
      </w:r>
    </w:p>
    <w:p w:rsidR="00D6112A" w:rsidRPr="00D6112A" w:rsidRDefault="00D6112A" w:rsidP="00D6112A">
      <w:pPr>
        <w:rPr>
          <w:u w:val="single"/>
        </w:rPr>
      </w:pPr>
      <w:r w:rsidRPr="00D6112A">
        <w:rPr>
          <w:u w:val="single"/>
        </w:rPr>
        <w:t>Caixa e equivalentes de caixa</w:t>
      </w:r>
    </w:p>
    <w:p w:rsidR="00D6112A" w:rsidRDefault="00D6112A" w:rsidP="00664ECB">
      <w:r w:rsidRPr="002F7DBB">
        <w:t xml:space="preserve">São representados por valores de liquidez imediata e com vencimento original de até 90 dias e com risco insignificante de mudança de valor, apresentados ao custo de aquisição, acrescidos dos rendimentos incorridos até as datas dos balanços e ajustadas, quando aplicável, ao seu equivalente valor de mercado, se inferior ao saldo contábil. Caixa e equivalentes de caixa abrangem saldos de caixa, </w:t>
      </w:r>
      <w:r w:rsidR="002F7DBB" w:rsidRPr="002F7DBB">
        <w:t>banco conta</w:t>
      </w:r>
      <w:r w:rsidRPr="002F7DBB">
        <w:t xml:space="preserve"> movimento e aplicações financeiras.</w:t>
      </w:r>
    </w:p>
    <w:p w:rsidR="002D0AAA" w:rsidRDefault="006724F9" w:rsidP="00664ECB">
      <w:r w:rsidRPr="006724F9">
        <w:rPr>
          <w:noProof/>
        </w:rPr>
        <w:drawing>
          <wp:inline distT="0" distB="0" distL="0" distR="0">
            <wp:extent cx="4257675" cy="108585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112A" w:rsidRPr="00D6112A" w:rsidRDefault="00D6112A" w:rsidP="00D6112A">
      <w:pPr>
        <w:rPr>
          <w:u w:val="single"/>
        </w:rPr>
      </w:pPr>
      <w:r w:rsidRPr="00D6112A">
        <w:rPr>
          <w:u w:val="single"/>
        </w:rPr>
        <w:t>Instrumentos financeiros derivativos</w:t>
      </w:r>
    </w:p>
    <w:p w:rsidR="00D6112A" w:rsidRDefault="00D6112A" w:rsidP="00D6112A">
      <w:r>
        <w:t>Não houve operações com instrumentos financeiros derivativos durante o exercício de 201</w:t>
      </w:r>
      <w:r w:rsidR="006724F9">
        <w:t>6</w:t>
      </w:r>
      <w:r>
        <w:t>.</w:t>
      </w:r>
    </w:p>
    <w:p w:rsidR="00D6112A" w:rsidRPr="000958A7" w:rsidRDefault="00665874" w:rsidP="00D6112A">
      <w:r>
        <w:t>b</w:t>
      </w:r>
      <w:r w:rsidR="00D6112A" w:rsidRPr="000958A7">
        <w:t>.</w:t>
      </w:r>
      <w:r>
        <w:t xml:space="preserve"> </w:t>
      </w:r>
      <w:r w:rsidR="00D6112A" w:rsidRPr="000958A7">
        <w:t xml:space="preserve">Imobilizado </w:t>
      </w:r>
    </w:p>
    <w:p w:rsidR="00D6112A" w:rsidRPr="000958A7" w:rsidRDefault="00D6112A" w:rsidP="00D6112A">
      <w:pPr>
        <w:rPr>
          <w:u w:val="single"/>
        </w:rPr>
      </w:pPr>
      <w:r w:rsidRPr="000958A7">
        <w:rPr>
          <w:u w:val="single"/>
        </w:rPr>
        <w:t>Reconhecimento e mensuração</w:t>
      </w:r>
    </w:p>
    <w:p w:rsidR="00D6112A" w:rsidRDefault="009C4DFE" w:rsidP="00664ECB">
      <w:r>
        <w:t>Itens do ativo imobilizado são mensurados pelo custo histórico de aquisição ou construção, deduzido de depreciação acumulada</w:t>
      </w:r>
      <w:r w:rsidR="006F401C">
        <w:t>.</w:t>
      </w:r>
    </w:p>
    <w:p w:rsidR="00D6112A" w:rsidRPr="00B8404E" w:rsidRDefault="00D6112A" w:rsidP="00D6112A">
      <w:pPr>
        <w:rPr>
          <w:u w:val="single"/>
        </w:rPr>
      </w:pPr>
      <w:r w:rsidRPr="00B8404E">
        <w:rPr>
          <w:u w:val="single"/>
        </w:rPr>
        <w:t>Depreciação</w:t>
      </w:r>
    </w:p>
    <w:p w:rsidR="00D6112A" w:rsidRPr="00B8404E" w:rsidRDefault="00D6112A" w:rsidP="00664ECB">
      <w:r w:rsidRPr="00B8404E">
        <w:t>A depreciação é calculada sobre o valor depreciável, que é o custo de um ativo, ou outro valor substituto do custo, deduzido do valor residual.</w:t>
      </w:r>
    </w:p>
    <w:p w:rsidR="00D6112A" w:rsidRDefault="00D6112A" w:rsidP="00664ECB">
      <w:r w:rsidRPr="008933D9">
        <w:lastRenderedPageBreak/>
        <w:t xml:space="preserve">A depreciação é reconhecida no resultado baseando-se no método linear com relação </w:t>
      </w:r>
      <w:r w:rsidR="008933D9" w:rsidRPr="008933D9">
        <w:t>a taxa fiscal</w:t>
      </w:r>
      <w:r w:rsidRPr="008933D9">
        <w:t xml:space="preserve"> de cada parte de um item do imobilizado. As vidas úteis estimadas para os períodos correntes e comparativos são as seguintes:</w:t>
      </w:r>
    </w:p>
    <w:p w:rsidR="006724F9" w:rsidRPr="008933D9" w:rsidRDefault="006724F9" w:rsidP="00664ECB"/>
    <w:bookmarkStart w:id="0" w:name="_MON_1427391410"/>
    <w:bookmarkEnd w:id="0"/>
    <w:p w:rsidR="00D6112A" w:rsidRDefault="006724F9" w:rsidP="00D91BFF">
      <w:r w:rsidRPr="008933D9">
        <w:object w:dxaOrig="6309" w:dyaOrig="72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4.25pt;height:36pt" o:ole="">
            <v:imagedata r:id="rId19" o:title=""/>
          </v:shape>
          <o:OLEObject Type="Embed" ProgID="Excel.Sheet.12" ShapeID="_x0000_i1025" DrawAspect="Content" ObjectID="_1563796201" r:id="rId20"/>
        </w:object>
      </w:r>
      <w:r w:rsidR="00D6112A">
        <w:tab/>
      </w:r>
      <w:r w:rsidR="00D6112A">
        <w:tab/>
      </w:r>
    </w:p>
    <w:p w:rsidR="00E02C48" w:rsidRDefault="00E02C48" w:rsidP="00D91BFF"/>
    <w:p w:rsidR="00D6112A" w:rsidRDefault="006F401C" w:rsidP="00D6112A">
      <w:r>
        <w:t>c</w:t>
      </w:r>
      <w:r w:rsidR="00D6112A">
        <w:t>.</w:t>
      </w:r>
      <w:r w:rsidR="00665874">
        <w:t xml:space="preserve"> </w:t>
      </w:r>
      <w:r w:rsidR="00D6112A">
        <w:t>Ajuste a Valor Presente (AVP) de ativos e passivos</w:t>
      </w:r>
    </w:p>
    <w:p w:rsidR="00D6112A" w:rsidRDefault="00D6112A" w:rsidP="00664ECB">
      <w:r>
        <w:t>A Administração da Entidade não pratica transações significativas de vendas a prazo com valores pré-fixados. Assim, os saldos dos direitos e das obrigações estão mensurados nas datas de encerramento dos exercícios por valores próximos aos respectivos valores presentes.</w:t>
      </w:r>
    </w:p>
    <w:p w:rsidR="00D6112A" w:rsidRDefault="006F401C" w:rsidP="00D6112A">
      <w:r>
        <w:t>d</w:t>
      </w:r>
      <w:r w:rsidR="00D6112A">
        <w:t>. Provisões</w:t>
      </w:r>
    </w:p>
    <w:p w:rsidR="00D6112A" w:rsidRDefault="00D6112A" w:rsidP="00664ECB">
      <w:r>
        <w:t>Uma provisão é reconhecida, em função de um evento passado, se a Entidade tem uma obrigação legal ou construtiva que possa ser estimada de maneira confiável, e é provável que um recurso econômico seja exigido para liquidar a obrigação. As provisões são apuradas por meio do desconto dos fluxos de caixa futuros esperados a uma taxa antes de impostos que reflete as avaliações atuais de mercado quanto ao valor do dinheiro no tempo e riscos específicos para o passivo.</w:t>
      </w:r>
    </w:p>
    <w:p w:rsidR="00D6112A" w:rsidRDefault="006F401C" w:rsidP="00D6112A">
      <w:r>
        <w:t>e</w:t>
      </w:r>
      <w:r w:rsidR="00D6112A">
        <w:t>.</w:t>
      </w:r>
      <w:r w:rsidR="00665874">
        <w:t xml:space="preserve"> </w:t>
      </w:r>
      <w:r w:rsidR="00D6112A">
        <w:t>Outros ativos e passivos (circulantes e não circulantes)</w:t>
      </w:r>
    </w:p>
    <w:p w:rsidR="00D6112A" w:rsidRDefault="00D6112A" w:rsidP="00664ECB">
      <w:r>
        <w:t>Um ativo é reconhecido no balanço patrimonial quando for provável que seus benefícios econômico-futuros serão gerados em favor da Entidade e seu custo ou valor puder ser mensurado com segurança.</w:t>
      </w:r>
    </w:p>
    <w:p w:rsidR="00D6112A" w:rsidRDefault="00D6112A" w:rsidP="00664ECB">
      <w:r>
        <w:t>Um passivo é reconhecido no balanço patrimonial quando a Entidade possui uma obrigação legal ou constituída como resultado de um evento passado, sendo provável que um recurso econômico seja requerido para liquidá-lo. São acrescidos, quando aplicável, dos correspondentes encargos e das variações monetárias ou cambiais incorridas. As provisões são registradas tendo como base as melhores estimativas do risco envolvido.</w:t>
      </w:r>
    </w:p>
    <w:p w:rsidR="00D6112A" w:rsidRPr="00EC0DC8" w:rsidRDefault="00D6112A" w:rsidP="00664ECB">
      <w:r>
        <w:t xml:space="preserve">Os ativos e passivos são classificados como circulantes quando sua realização ou liquidação é provável que ocorra nos próximos 12 meses. Caso contrário, são demonstrados como não </w:t>
      </w:r>
      <w:r w:rsidRPr="00EC0DC8">
        <w:t>circulantes.</w:t>
      </w:r>
    </w:p>
    <w:p w:rsidR="00D6112A" w:rsidRPr="00EC0DC8" w:rsidRDefault="006F401C" w:rsidP="00664ECB">
      <w:r w:rsidRPr="00EC0DC8">
        <w:t>f</w:t>
      </w:r>
      <w:r w:rsidR="00D6112A" w:rsidRPr="00EC0DC8">
        <w:t>.</w:t>
      </w:r>
      <w:r w:rsidR="00665874" w:rsidRPr="00EC0DC8">
        <w:t xml:space="preserve"> </w:t>
      </w:r>
      <w:r w:rsidR="00D6112A" w:rsidRPr="00EC0DC8">
        <w:t>Ativos e passivos contingentes e obrigações legais</w:t>
      </w:r>
    </w:p>
    <w:p w:rsidR="00D6112A" w:rsidRPr="00EC0DC8" w:rsidRDefault="00D6112A" w:rsidP="00664ECB">
      <w:r w:rsidRPr="00EC0DC8">
        <w:t>As práticas contábeis para registro e divulgação de ativos e passivos contingentes e obrigações legais são as seguintes:</w:t>
      </w:r>
    </w:p>
    <w:p w:rsidR="00D6112A" w:rsidRPr="00EC0DC8" w:rsidRDefault="00D6112A" w:rsidP="00664ECB">
      <w:pPr>
        <w:ind w:left="708"/>
      </w:pPr>
      <w:proofErr w:type="gramStart"/>
      <w:r w:rsidRPr="00EC0DC8">
        <w:rPr>
          <w:u w:val="single"/>
        </w:rPr>
        <w:lastRenderedPageBreak/>
        <w:t>ativos</w:t>
      </w:r>
      <w:proofErr w:type="gramEnd"/>
      <w:r w:rsidRPr="00EC0DC8">
        <w:rPr>
          <w:u w:val="single"/>
        </w:rPr>
        <w:t xml:space="preserve"> contingentes</w:t>
      </w:r>
      <w:r w:rsidRPr="00EC0DC8">
        <w:t>: são reconhecidos somente quando há garantias reais ou decisões judiciais favoráveis, transitadas em julgado. Os ativos contingentes com êxitos prováveis são apenas divulgados em nota explicativa;</w:t>
      </w:r>
    </w:p>
    <w:p w:rsidR="00D6112A" w:rsidRDefault="00D6112A" w:rsidP="00664ECB">
      <w:pPr>
        <w:ind w:left="708"/>
      </w:pPr>
      <w:proofErr w:type="gramStart"/>
      <w:r w:rsidRPr="00EC0DC8">
        <w:rPr>
          <w:u w:val="single"/>
        </w:rPr>
        <w:t>passivos</w:t>
      </w:r>
      <w:proofErr w:type="gramEnd"/>
      <w:r w:rsidRPr="00EC0DC8">
        <w:rPr>
          <w:u w:val="single"/>
        </w:rPr>
        <w:t xml:space="preserve"> contingentes</w:t>
      </w:r>
      <w:r w:rsidRPr="00EC0DC8">
        <w:t>: são provisionados quando as perdas forem avaliadas como prováveis e os montantes envolvidos forem mensuráveis com suficiente segurança. Os passivos contingentes avaliados como de perdas possíveis são apenas divulgados em nota explicativa e os passivos contingentes avaliados como de perdas remotas não são provisionados e nem divulgados.</w:t>
      </w:r>
    </w:p>
    <w:p w:rsidR="00D6112A" w:rsidRDefault="006F401C" w:rsidP="00664ECB">
      <w:r>
        <w:t>g</w:t>
      </w:r>
      <w:r w:rsidR="00D6112A">
        <w:t>. Demonstração dos fluxos de caixa</w:t>
      </w:r>
    </w:p>
    <w:p w:rsidR="00532B4D" w:rsidRDefault="00D6112A" w:rsidP="00664ECB">
      <w:r>
        <w:t xml:space="preserve">A Administração da Entidade apresenta os fluxos de caixa às atividades operacionais usando o método indireto, segundo o qual o resultado líquido é ajustado pelos efeitos de transações que não envolvem caixa, pelos efeitos de quaisquer diferimentos ou apropriações por competência sobre recebimentos de caixa ou pagamentos em caixa operacionais passados ou futuros e pelos efeitos de itens de receita ou </w:t>
      </w:r>
      <w:proofErr w:type="gramStart"/>
      <w:r>
        <w:t>despesas associados</w:t>
      </w:r>
      <w:proofErr w:type="gramEnd"/>
      <w:r>
        <w:t xml:space="preserve"> com fluxos de caixa das atividades de investimento ou de financiamento.  </w:t>
      </w:r>
    </w:p>
    <w:p w:rsidR="009D1D1C" w:rsidRPr="009D1D1C" w:rsidRDefault="006F401C" w:rsidP="006F401C">
      <w:r>
        <w:t xml:space="preserve">h. </w:t>
      </w:r>
      <w:r w:rsidR="009D1D1C" w:rsidRPr="009D1D1C">
        <w:t>Receitas com trabalhos voluntários</w:t>
      </w:r>
    </w:p>
    <w:p w:rsidR="00083E1E" w:rsidRDefault="009D1D1C" w:rsidP="009D1D1C">
      <w:r w:rsidRPr="009D1D1C">
        <w:t>Conforme estabelecido na Interpretação ITG 2002 (R1) -</w:t>
      </w:r>
      <w:r>
        <w:t xml:space="preserve"> </w:t>
      </w:r>
      <w:r w:rsidRPr="009D1D1C">
        <w:t>Entidade sem Finalidade de Lucro, a Entidade a partir do exercício de 201</w:t>
      </w:r>
      <w:r w:rsidR="006724F9">
        <w:t>6</w:t>
      </w:r>
      <w:r w:rsidRPr="009D1D1C">
        <w:t xml:space="preserve"> passou a valorizar as receitas com trabalhos voluntários, inclusive de membros integrantes de órgãos da administração sendo mensuradas ao seu valor justo levando-se em consideração os montantes que a Entidade haveria de pagar caso contratasse estes serviços em mercado similar. As receitas com trabalhos voluntários são reconhecidas no resultado do exercício em contrapartida a despesas operacionais também no resultado do exercício. Em 31 de dezembro de 201</w:t>
      </w:r>
      <w:r w:rsidR="00006575">
        <w:t>6</w:t>
      </w:r>
      <w:r w:rsidRPr="009D1D1C">
        <w:t xml:space="preserve"> a Entidade registrou o montante de R$ </w:t>
      </w:r>
      <w:r w:rsidR="006724F9">
        <w:t>21.818</w:t>
      </w:r>
      <w:r w:rsidR="00006575">
        <w:t xml:space="preserve">) </w:t>
      </w:r>
      <w:r w:rsidRPr="009D1D1C">
        <w:t>referente a trabalhos voluntários.</w:t>
      </w:r>
    </w:p>
    <w:p w:rsidR="00D6112A" w:rsidRPr="009C4DFE" w:rsidRDefault="007326C3" w:rsidP="00D6112A">
      <w:pPr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="00D6112A" w:rsidRPr="009C4DFE">
        <w:rPr>
          <w:b/>
          <w:sz w:val="28"/>
          <w:szCs w:val="28"/>
        </w:rPr>
        <w:t xml:space="preserve">. </w:t>
      </w:r>
      <w:r w:rsidR="00532B4D" w:rsidRPr="009C4DFE">
        <w:rPr>
          <w:b/>
          <w:sz w:val="28"/>
          <w:szCs w:val="28"/>
        </w:rPr>
        <w:t>Contas a Receber</w:t>
      </w:r>
    </w:p>
    <w:p w:rsidR="00DA6622" w:rsidRDefault="004F5BCD" w:rsidP="00D6112A">
      <w:r w:rsidRPr="004F5BCD">
        <w:rPr>
          <w:noProof/>
        </w:rPr>
        <w:drawing>
          <wp:inline distT="0" distB="0" distL="0" distR="0">
            <wp:extent cx="5400040" cy="825779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25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5BCD" w:rsidRDefault="00142BCC" w:rsidP="004F5BCD">
      <w:pPr>
        <w:rPr>
          <w:b/>
          <w:sz w:val="28"/>
          <w:szCs w:val="28"/>
        </w:rPr>
      </w:pPr>
      <w:r w:rsidRPr="002F7DBB">
        <w:rPr>
          <w:b/>
          <w:sz w:val="28"/>
          <w:szCs w:val="28"/>
        </w:rPr>
        <w:t>5</w:t>
      </w:r>
      <w:r w:rsidR="00D6112A" w:rsidRPr="002F7DBB">
        <w:rPr>
          <w:b/>
          <w:sz w:val="28"/>
          <w:szCs w:val="28"/>
        </w:rPr>
        <w:t>.</w:t>
      </w:r>
      <w:r w:rsidR="004F5BCD">
        <w:rPr>
          <w:b/>
          <w:sz w:val="28"/>
          <w:szCs w:val="28"/>
        </w:rPr>
        <w:t xml:space="preserve"> Despesas Antecipadas</w:t>
      </w:r>
    </w:p>
    <w:p w:rsidR="004F5BCD" w:rsidRDefault="004F5BCD" w:rsidP="00142BCC">
      <w:pPr>
        <w:pStyle w:val="NormalWeb"/>
        <w:rPr>
          <w:b/>
          <w:sz w:val="28"/>
          <w:szCs w:val="28"/>
        </w:rPr>
      </w:pPr>
      <w:r w:rsidRPr="004F5BCD">
        <w:rPr>
          <w:noProof/>
        </w:rPr>
        <w:drawing>
          <wp:inline distT="0" distB="0" distL="0" distR="0">
            <wp:extent cx="5400040" cy="824363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24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2C48" w:rsidRDefault="00E02C48" w:rsidP="004F5BCD">
      <w:pPr>
        <w:rPr>
          <w:b/>
          <w:sz w:val="28"/>
          <w:szCs w:val="28"/>
        </w:rPr>
      </w:pPr>
    </w:p>
    <w:p w:rsidR="00D6112A" w:rsidRDefault="004F5BCD" w:rsidP="004F5BCD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6.</w:t>
      </w:r>
      <w:r w:rsidR="00D6112A" w:rsidRPr="002F7DBB">
        <w:rPr>
          <w:b/>
          <w:sz w:val="28"/>
          <w:szCs w:val="28"/>
        </w:rPr>
        <w:t xml:space="preserve"> </w:t>
      </w:r>
      <w:r w:rsidR="00265ADA">
        <w:rPr>
          <w:b/>
          <w:sz w:val="28"/>
          <w:szCs w:val="28"/>
        </w:rPr>
        <w:t>Imobilizado e Intangível</w:t>
      </w:r>
    </w:p>
    <w:p w:rsidR="005031DE" w:rsidRDefault="004F5BCD" w:rsidP="00142BCC">
      <w:pPr>
        <w:pStyle w:val="NormalWeb"/>
        <w:rPr>
          <w:b/>
          <w:sz w:val="28"/>
          <w:szCs w:val="28"/>
        </w:rPr>
      </w:pPr>
      <w:r w:rsidRPr="004F5BCD">
        <w:rPr>
          <w:noProof/>
        </w:rPr>
        <w:drawing>
          <wp:inline distT="0" distB="0" distL="0" distR="0">
            <wp:extent cx="5398135" cy="752475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4709" cy="753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6622" w:rsidRDefault="00DA6622" w:rsidP="005031DE">
      <w:pPr>
        <w:pStyle w:val="NormalWeb"/>
        <w:rPr>
          <w:b/>
          <w:sz w:val="28"/>
          <w:szCs w:val="28"/>
        </w:rPr>
      </w:pPr>
    </w:p>
    <w:p w:rsidR="005031DE" w:rsidRPr="00CE6EE7" w:rsidRDefault="005031DE" w:rsidP="005031DE">
      <w:pPr>
        <w:pStyle w:val="NormalWeb"/>
        <w:rPr>
          <w:b/>
          <w:sz w:val="28"/>
          <w:szCs w:val="28"/>
        </w:rPr>
      </w:pPr>
    </w:p>
    <w:p w:rsidR="00D6112A" w:rsidRDefault="004F5BCD" w:rsidP="00A3675D">
      <w:pPr>
        <w:tabs>
          <w:tab w:val="left" w:pos="524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="00D6112A" w:rsidRPr="009C4DFE">
        <w:rPr>
          <w:b/>
          <w:sz w:val="28"/>
          <w:szCs w:val="28"/>
        </w:rPr>
        <w:t xml:space="preserve">. </w:t>
      </w:r>
      <w:r w:rsidR="007326C3">
        <w:rPr>
          <w:b/>
          <w:sz w:val="28"/>
          <w:szCs w:val="28"/>
        </w:rPr>
        <w:t>Salários e encargos sociais</w:t>
      </w:r>
    </w:p>
    <w:p w:rsidR="00CE6EE7" w:rsidRDefault="00956E94" w:rsidP="00D6112A">
      <w:pPr>
        <w:rPr>
          <w:b/>
          <w:sz w:val="28"/>
          <w:szCs w:val="28"/>
        </w:rPr>
      </w:pPr>
      <w:r w:rsidRPr="00956E94">
        <w:rPr>
          <w:noProof/>
        </w:rPr>
        <w:drawing>
          <wp:inline distT="0" distB="0" distL="0" distR="0">
            <wp:extent cx="4533900" cy="1657350"/>
            <wp:effectExtent l="0" t="0" r="0" b="0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5ADA" w:rsidRDefault="004E75B1" w:rsidP="00D6112A">
      <w:pPr>
        <w:rPr>
          <w:b/>
          <w:sz w:val="28"/>
          <w:szCs w:val="28"/>
        </w:rPr>
      </w:pPr>
      <w:r w:rsidRPr="00E02C48">
        <w:rPr>
          <w:b/>
          <w:sz w:val="28"/>
          <w:szCs w:val="28"/>
        </w:rPr>
        <w:br w:type="textWrapping" w:clear="all"/>
      </w:r>
      <w:r w:rsidR="00956E94">
        <w:rPr>
          <w:b/>
          <w:sz w:val="28"/>
          <w:szCs w:val="28"/>
        </w:rPr>
        <w:t>8</w:t>
      </w:r>
      <w:r w:rsidR="00D6112A" w:rsidRPr="00EC0DC8">
        <w:rPr>
          <w:b/>
          <w:sz w:val="28"/>
          <w:szCs w:val="28"/>
        </w:rPr>
        <w:t xml:space="preserve">. </w:t>
      </w:r>
      <w:r w:rsidR="00265ADA">
        <w:rPr>
          <w:b/>
          <w:sz w:val="28"/>
          <w:szCs w:val="28"/>
        </w:rPr>
        <w:t>Projetos a Executar</w:t>
      </w:r>
    </w:p>
    <w:p w:rsidR="001E2E33" w:rsidRDefault="00956E94" w:rsidP="00D6112A">
      <w:pPr>
        <w:rPr>
          <w:b/>
          <w:sz w:val="28"/>
          <w:szCs w:val="28"/>
        </w:rPr>
      </w:pPr>
      <w:r w:rsidRPr="00956E94">
        <w:rPr>
          <w:noProof/>
        </w:rPr>
        <w:drawing>
          <wp:inline distT="0" distB="0" distL="0" distR="0">
            <wp:extent cx="4533900" cy="866775"/>
            <wp:effectExtent l="0" t="0" r="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2C48" w:rsidRDefault="00E02C48" w:rsidP="00D6112A">
      <w:pPr>
        <w:rPr>
          <w:b/>
          <w:sz w:val="28"/>
          <w:szCs w:val="28"/>
        </w:rPr>
      </w:pPr>
    </w:p>
    <w:p w:rsidR="00D6112A" w:rsidRPr="00EC0DC8" w:rsidRDefault="00956E94" w:rsidP="00D6112A">
      <w:pPr>
        <w:rPr>
          <w:b/>
          <w:sz w:val="28"/>
          <w:szCs w:val="28"/>
        </w:rPr>
      </w:pPr>
      <w:r>
        <w:rPr>
          <w:b/>
          <w:sz w:val="28"/>
          <w:szCs w:val="28"/>
        </w:rPr>
        <w:t>9</w:t>
      </w:r>
      <w:r w:rsidR="001E2E33">
        <w:rPr>
          <w:b/>
          <w:sz w:val="28"/>
          <w:szCs w:val="28"/>
        </w:rPr>
        <w:t xml:space="preserve">. </w:t>
      </w:r>
      <w:r w:rsidR="007D7B11" w:rsidRPr="00EC0DC8">
        <w:rPr>
          <w:b/>
          <w:sz w:val="28"/>
          <w:szCs w:val="28"/>
        </w:rPr>
        <w:t>Riscos Trabalhistas</w:t>
      </w:r>
    </w:p>
    <w:p w:rsidR="00321349" w:rsidRDefault="00D6112A" w:rsidP="008F4A2D">
      <w:r w:rsidRPr="00EC0DC8">
        <w:t xml:space="preserve">A Entidade reconhece a provisão para riscos trabalhistas quando seus assessores jurídicos consideram como provável o risco de perda de demandas judiciais e administrativas, que acarretarão em desembolso de recursos que possam ser mensurados com razoável nível de segurança. A Entidade não reconhece os passivos contingentes quando esses são classificados como possíveis. Em 31 de dezembro de </w:t>
      </w:r>
      <w:r w:rsidR="007D7B11" w:rsidRPr="00EC0DC8">
        <w:t>201</w:t>
      </w:r>
      <w:r w:rsidR="00CA2DE9">
        <w:t>6</w:t>
      </w:r>
      <w:r w:rsidR="007D7B11" w:rsidRPr="00EC0DC8">
        <w:t xml:space="preserve"> e </w:t>
      </w:r>
      <w:r w:rsidRPr="00EC0DC8">
        <w:t>201</w:t>
      </w:r>
      <w:r w:rsidR="00CA2DE9">
        <w:t>5</w:t>
      </w:r>
      <w:r w:rsidRPr="00EC0DC8">
        <w:t xml:space="preserve">, </w:t>
      </w:r>
      <w:r w:rsidR="007D7B11" w:rsidRPr="00EC0DC8">
        <w:t xml:space="preserve">não foram </w:t>
      </w:r>
      <w:r w:rsidR="00700CF0" w:rsidRPr="00EC0DC8">
        <w:t xml:space="preserve">constituídas provisões, pois não foram identificadas ações </w:t>
      </w:r>
      <w:r w:rsidRPr="00EC0DC8">
        <w:t xml:space="preserve">cuja probabilidade de perda </w:t>
      </w:r>
      <w:r w:rsidR="00700CF0" w:rsidRPr="00EC0DC8">
        <w:t>seja reconhecida como provável.</w:t>
      </w:r>
    </w:p>
    <w:p w:rsidR="00D6112A" w:rsidRPr="009C4DFE" w:rsidRDefault="00956E94" w:rsidP="00D6112A">
      <w:pPr>
        <w:rPr>
          <w:b/>
          <w:sz w:val="28"/>
          <w:szCs w:val="28"/>
        </w:rPr>
      </w:pPr>
      <w:r>
        <w:rPr>
          <w:b/>
          <w:sz w:val="28"/>
          <w:szCs w:val="28"/>
        </w:rPr>
        <w:t>10</w:t>
      </w:r>
      <w:r w:rsidR="00D6112A" w:rsidRPr="009C4DFE">
        <w:rPr>
          <w:b/>
          <w:sz w:val="28"/>
          <w:szCs w:val="28"/>
        </w:rPr>
        <w:t>.</w:t>
      </w:r>
      <w:r w:rsidR="00700CF0" w:rsidRPr="009C4DFE">
        <w:rPr>
          <w:b/>
          <w:sz w:val="28"/>
          <w:szCs w:val="28"/>
        </w:rPr>
        <w:t xml:space="preserve"> Patrimônio </w:t>
      </w:r>
      <w:r w:rsidR="002F7DBB">
        <w:rPr>
          <w:b/>
          <w:sz w:val="28"/>
          <w:szCs w:val="28"/>
        </w:rPr>
        <w:t>Liquido</w:t>
      </w:r>
    </w:p>
    <w:p w:rsidR="006F401C" w:rsidRDefault="008933D9" w:rsidP="000F7021">
      <w:r>
        <w:t>O P</w:t>
      </w:r>
      <w:r w:rsidR="00D6112A" w:rsidRPr="002F7DBB">
        <w:t xml:space="preserve">atrimônio </w:t>
      </w:r>
      <w:proofErr w:type="spellStart"/>
      <w:r>
        <w:t>L</w:t>
      </w:r>
      <w:r w:rsidR="002F7DBB" w:rsidRPr="002F7DBB">
        <w:t>iquido</w:t>
      </w:r>
      <w:proofErr w:type="spellEnd"/>
      <w:r w:rsidR="002F7DBB" w:rsidRPr="002F7DBB">
        <w:t xml:space="preserve"> </w:t>
      </w:r>
      <w:r w:rsidR="00D6112A" w:rsidRPr="002F7DBB">
        <w:t>é composto pelo</w:t>
      </w:r>
      <w:r w:rsidR="002F7DBB" w:rsidRPr="002F7DBB">
        <w:t xml:space="preserve"> </w:t>
      </w:r>
      <w:r>
        <w:t>P</w:t>
      </w:r>
      <w:r w:rsidR="002F7DBB" w:rsidRPr="002F7DBB">
        <w:t xml:space="preserve">atrimônio </w:t>
      </w:r>
      <w:r>
        <w:t>S</w:t>
      </w:r>
      <w:r w:rsidR="002F7DBB" w:rsidRPr="002F7DBB">
        <w:t>ocial e por</w:t>
      </w:r>
      <w:r w:rsidR="00D6112A" w:rsidRPr="002F7DBB">
        <w:t xml:space="preserve"> superávits e déficits dos exercícios</w:t>
      </w:r>
      <w:r w:rsidR="00700CF0" w:rsidRPr="002F7DBB">
        <w:t xml:space="preserve"> aprovados pela Assembleia Geral</w:t>
      </w:r>
      <w:r w:rsidR="00D6112A" w:rsidRPr="002F7DBB">
        <w:t>.</w:t>
      </w:r>
      <w:r w:rsidR="00D6112A">
        <w:t xml:space="preserve"> </w:t>
      </w:r>
    </w:p>
    <w:p w:rsidR="001E2E33" w:rsidRDefault="001E2E33" w:rsidP="000F7021">
      <w:pPr>
        <w:rPr>
          <w:b/>
          <w:sz w:val="28"/>
          <w:szCs w:val="28"/>
        </w:rPr>
      </w:pPr>
    </w:p>
    <w:p w:rsidR="000F7021" w:rsidRDefault="001E2E33" w:rsidP="000F7021">
      <w:pPr>
        <w:rPr>
          <w:rFonts w:asciiTheme="minorHAnsi" w:hAnsiTheme="minorHAnsi" w:cs="Arial"/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444BB9">
        <w:rPr>
          <w:b/>
          <w:sz w:val="28"/>
          <w:szCs w:val="28"/>
        </w:rPr>
        <w:t>1</w:t>
      </w:r>
      <w:r w:rsidR="00E310E1" w:rsidRPr="009C4DFE">
        <w:rPr>
          <w:b/>
          <w:sz w:val="28"/>
          <w:szCs w:val="28"/>
        </w:rPr>
        <w:t xml:space="preserve">. </w:t>
      </w:r>
      <w:r w:rsidR="000F7021">
        <w:rPr>
          <w:rFonts w:asciiTheme="minorHAnsi" w:hAnsiTheme="minorHAnsi" w:cs="Arial"/>
          <w:b/>
          <w:sz w:val="28"/>
          <w:szCs w:val="28"/>
        </w:rPr>
        <w:t xml:space="preserve">Receita </w:t>
      </w:r>
      <w:r w:rsidR="00184A3D">
        <w:rPr>
          <w:rFonts w:asciiTheme="minorHAnsi" w:hAnsiTheme="minorHAnsi" w:cs="Arial"/>
          <w:b/>
          <w:sz w:val="28"/>
          <w:szCs w:val="28"/>
        </w:rPr>
        <w:t>Líquida</w:t>
      </w:r>
    </w:p>
    <w:p w:rsidR="006B6F9D" w:rsidRDefault="00184A3D" w:rsidP="00D6112A">
      <w:pPr>
        <w:rPr>
          <w:rFonts w:cs="Calibri"/>
        </w:rPr>
      </w:pPr>
      <w:r>
        <w:rPr>
          <w:rFonts w:cs="Calibri"/>
        </w:rPr>
        <w:t xml:space="preserve">A receita liquida é composta por prestação de serviços de </w:t>
      </w:r>
      <w:r w:rsidR="00444BB9">
        <w:rPr>
          <w:rFonts w:cs="Calibri"/>
        </w:rPr>
        <w:t>instruções, treinamentos</w:t>
      </w:r>
      <w:r>
        <w:rPr>
          <w:rFonts w:cs="Calibri"/>
        </w:rPr>
        <w:t xml:space="preserve"> e </w:t>
      </w:r>
      <w:r w:rsidR="00444BB9">
        <w:rPr>
          <w:rFonts w:cs="Calibri"/>
        </w:rPr>
        <w:t>cursos</w:t>
      </w:r>
      <w:r>
        <w:rPr>
          <w:rFonts w:cs="Calibri"/>
        </w:rPr>
        <w:t xml:space="preserve">, </w:t>
      </w:r>
      <w:r w:rsidR="00A36901" w:rsidRPr="006563EF">
        <w:rPr>
          <w:rFonts w:cs="Calibri"/>
        </w:rPr>
        <w:t>doações</w:t>
      </w:r>
      <w:r>
        <w:rPr>
          <w:rFonts w:cs="Calibri"/>
        </w:rPr>
        <w:t xml:space="preserve"> de pessoas jurídicas e físicas</w:t>
      </w:r>
      <w:r w:rsidR="00945F76">
        <w:rPr>
          <w:rFonts w:cs="Calibri"/>
        </w:rPr>
        <w:t>,</w:t>
      </w:r>
      <w:r>
        <w:rPr>
          <w:rFonts w:cs="Calibri"/>
        </w:rPr>
        <w:t xml:space="preserve"> </w:t>
      </w:r>
      <w:r w:rsidR="00945F76">
        <w:rPr>
          <w:rFonts w:cs="Calibri"/>
        </w:rPr>
        <w:t xml:space="preserve">rendas financeiras, </w:t>
      </w:r>
      <w:r>
        <w:rPr>
          <w:rFonts w:cs="Calibri"/>
        </w:rPr>
        <w:t xml:space="preserve">outras receitas e gratuidades obtidas com serviços voluntários, diminuídos dos respectivos impostos, </w:t>
      </w:r>
      <w:r w:rsidR="00945F76">
        <w:rPr>
          <w:rFonts w:cs="Calibri"/>
        </w:rPr>
        <w:t>integralmente aplicadas no País e destinada</w:t>
      </w:r>
      <w:r w:rsidR="00A36901" w:rsidRPr="006563EF">
        <w:rPr>
          <w:rFonts w:cs="Calibri"/>
        </w:rPr>
        <w:t>s ao cump</w:t>
      </w:r>
      <w:r w:rsidR="00EE7420" w:rsidRPr="006563EF">
        <w:rPr>
          <w:rFonts w:cs="Calibri"/>
        </w:rPr>
        <w:t xml:space="preserve">rimento do objeto social da </w:t>
      </w:r>
      <w:r w:rsidR="00444BB9">
        <w:rPr>
          <w:rFonts w:cs="Calibri"/>
        </w:rPr>
        <w:t>Associação.</w:t>
      </w:r>
    </w:p>
    <w:p w:rsidR="009247FE" w:rsidRDefault="009247FE" w:rsidP="00D6112A">
      <w:pPr>
        <w:rPr>
          <w:rFonts w:cs="Calibri"/>
        </w:rPr>
      </w:pPr>
    </w:p>
    <w:p w:rsidR="00D6112A" w:rsidRPr="009C4DFE" w:rsidRDefault="001E2E33" w:rsidP="00D6112A">
      <w:pPr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9247FE">
        <w:rPr>
          <w:b/>
          <w:sz w:val="28"/>
          <w:szCs w:val="28"/>
        </w:rPr>
        <w:t>2</w:t>
      </w:r>
      <w:r w:rsidR="00D6112A" w:rsidRPr="009C4DFE">
        <w:rPr>
          <w:b/>
          <w:sz w:val="28"/>
          <w:szCs w:val="28"/>
        </w:rPr>
        <w:t>.</w:t>
      </w:r>
      <w:r w:rsidR="00700CF0" w:rsidRPr="009C4DFE">
        <w:rPr>
          <w:b/>
          <w:sz w:val="28"/>
          <w:szCs w:val="28"/>
        </w:rPr>
        <w:t xml:space="preserve"> Despesas com pessoal</w:t>
      </w:r>
    </w:p>
    <w:p w:rsidR="00D6112A" w:rsidRDefault="00312963" w:rsidP="00D6112A">
      <w:r w:rsidRPr="00312963">
        <w:rPr>
          <w:noProof/>
        </w:rPr>
        <w:drawing>
          <wp:inline distT="0" distB="0" distL="0" distR="0">
            <wp:extent cx="4533900" cy="2466975"/>
            <wp:effectExtent l="0" t="0" r="0" b="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112A" w:rsidRPr="009C4DFE" w:rsidRDefault="006B6F9D" w:rsidP="00D6112A">
      <w:pPr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9247FE">
        <w:rPr>
          <w:b/>
          <w:sz w:val="28"/>
          <w:szCs w:val="28"/>
        </w:rPr>
        <w:t>3</w:t>
      </w:r>
      <w:r w:rsidR="00D6112A" w:rsidRPr="009C4DFE">
        <w:rPr>
          <w:b/>
          <w:sz w:val="28"/>
          <w:szCs w:val="28"/>
        </w:rPr>
        <w:t xml:space="preserve">. </w:t>
      </w:r>
      <w:r w:rsidR="00700CF0" w:rsidRPr="009C4DFE">
        <w:rPr>
          <w:b/>
          <w:sz w:val="28"/>
          <w:szCs w:val="28"/>
        </w:rPr>
        <w:t>Serviços prestados por terceiros</w:t>
      </w:r>
    </w:p>
    <w:p w:rsidR="00D6112A" w:rsidRDefault="00E123DF" w:rsidP="00D6112A">
      <w:r w:rsidRPr="00E123DF">
        <w:rPr>
          <w:noProof/>
        </w:rPr>
        <w:drawing>
          <wp:inline distT="0" distB="0" distL="0" distR="0">
            <wp:extent cx="4533900" cy="2790825"/>
            <wp:effectExtent l="0" t="0" r="0" b="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63BC" w:rsidRDefault="007563BC" w:rsidP="00005302">
      <w:pPr>
        <w:rPr>
          <w:b/>
          <w:sz w:val="28"/>
          <w:szCs w:val="28"/>
        </w:rPr>
      </w:pPr>
      <w:bookmarkStart w:id="1" w:name="_MON_1427521827"/>
      <w:bookmarkEnd w:id="1"/>
    </w:p>
    <w:p w:rsidR="00FF7E05" w:rsidRDefault="00FF7E05" w:rsidP="00005302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</w:t>
      </w:r>
      <w:r w:rsidR="00B408FE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. Despesas Administrativas</w:t>
      </w:r>
    </w:p>
    <w:p w:rsidR="00FF7E05" w:rsidRDefault="00987084" w:rsidP="00005302">
      <w:pPr>
        <w:rPr>
          <w:b/>
          <w:sz w:val="28"/>
          <w:szCs w:val="28"/>
        </w:rPr>
      </w:pPr>
      <w:r w:rsidRPr="00987084">
        <w:rPr>
          <w:noProof/>
        </w:rPr>
        <w:drawing>
          <wp:inline distT="0" distB="0" distL="0" distR="0">
            <wp:extent cx="4533900" cy="2466975"/>
            <wp:effectExtent l="0" t="0" r="0" b="0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2C48" w:rsidRDefault="00E02C48" w:rsidP="00005302">
      <w:pPr>
        <w:rPr>
          <w:b/>
          <w:sz w:val="28"/>
          <w:szCs w:val="28"/>
        </w:rPr>
      </w:pPr>
    </w:p>
    <w:p w:rsidR="00005302" w:rsidRPr="00005302" w:rsidRDefault="006B6F9D" w:rsidP="00005302">
      <w:pPr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B408FE">
        <w:rPr>
          <w:b/>
          <w:sz w:val="28"/>
          <w:szCs w:val="28"/>
        </w:rPr>
        <w:t>5</w:t>
      </w:r>
      <w:r w:rsidR="004E569B" w:rsidRPr="009C4DFE">
        <w:rPr>
          <w:b/>
          <w:sz w:val="28"/>
          <w:szCs w:val="28"/>
        </w:rPr>
        <w:t xml:space="preserve">. </w:t>
      </w:r>
      <w:r w:rsidR="00005302" w:rsidRPr="00005302">
        <w:rPr>
          <w:b/>
          <w:sz w:val="28"/>
          <w:szCs w:val="28"/>
        </w:rPr>
        <w:t>Avais, fianças e garantias</w:t>
      </w:r>
    </w:p>
    <w:p w:rsidR="00005302" w:rsidRPr="00AD163C" w:rsidRDefault="00005302" w:rsidP="00005302">
      <w:pPr>
        <w:widowControl w:val="0"/>
        <w:autoSpaceDE w:val="0"/>
        <w:autoSpaceDN w:val="0"/>
        <w:adjustRightInd w:val="0"/>
        <w:rPr>
          <w:rFonts w:eastAsia="Arial Unicode MS"/>
        </w:rPr>
      </w:pPr>
      <w:r w:rsidRPr="00AD163C">
        <w:rPr>
          <w:rFonts w:eastAsia="Arial Unicode MS"/>
        </w:rPr>
        <w:t>A Entidade não prestou garantias ou participou de quaisquer transações como interveniente garantidora durante o exercício de 201</w:t>
      </w:r>
      <w:r w:rsidR="00B408FE">
        <w:rPr>
          <w:rFonts w:eastAsia="Arial Unicode MS"/>
        </w:rPr>
        <w:t>6</w:t>
      </w:r>
      <w:r w:rsidRPr="00AD163C">
        <w:rPr>
          <w:rFonts w:eastAsia="Arial Unicode MS"/>
        </w:rPr>
        <w:t xml:space="preserve"> e 201</w:t>
      </w:r>
      <w:r w:rsidR="00B408FE">
        <w:rPr>
          <w:rFonts w:eastAsia="Arial Unicode MS"/>
        </w:rPr>
        <w:t>5</w:t>
      </w:r>
      <w:r w:rsidRPr="00AD163C">
        <w:rPr>
          <w:rFonts w:eastAsia="Arial Unicode MS"/>
        </w:rPr>
        <w:t>.</w:t>
      </w:r>
    </w:p>
    <w:p w:rsidR="007563BC" w:rsidRDefault="007563BC" w:rsidP="00005302">
      <w:pPr>
        <w:rPr>
          <w:b/>
          <w:sz w:val="28"/>
          <w:szCs w:val="28"/>
        </w:rPr>
      </w:pPr>
    </w:p>
    <w:p w:rsidR="00005302" w:rsidRPr="00B8404E" w:rsidRDefault="006B6F9D" w:rsidP="00005302">
      <w:pPr>
        <w:rPr>
          <w:b/>
          <w:sz w:val="28"/>
          <w:szCs w:val="28"/>
        </w:rPr>
      </w:pPr>
      <w:r w:rsidRPr="00B8404E">
        <w:rPr>
          <w:b/>
          <w:sz w:val="28"/>
          <w:szCs w:val="28"/>
        </w:rPr>
        <w:t>1</w:t>
      </w:r>
      <w:r w:rsidR="00B408FE">
        <w:rPr>
          <w:b/>
          <w:sz w:val="28"/>
          <w:szCs w:val="28"/>
        </w:rPr>
        <w:t>6</w:t>
      </w:r>
      <w:r w:rsidR="00005302" w:rsidRPr="00B8404E">
        <w:rPr>
          <w:b/>
          <w:sz w:val="28"/>
          <w:szCs w:val="28"/>
        </w:rPr>
        <w:t>. Renúncia fiscal</w:t>
      </w:r>
    </w:p>
    <w:p w:rsidR="00005302" w:rsidRPr="00B8404E" w:rsidRDefault="00005302" w:rsidP="00005302">
      <w:pPr>
        <w:rPr>
          <w:iCs/>
          <w:color w:val="000000"/>
        </w:rPr>
      </w:pPr>
      <w:r w:rsidRPr="00B8404E">
        <w:rPr>
          <w:iCs/>
          <w:color w:val="000000"/>
        </w:rPr>
        <w:t>Em atendimento ao item 27, letra “c” da ITG 2002 (R1) - entidade sem finalidade de lucros, a Entidade apresenta a seguir a relação dos tributos objetos da renúncia fiscal para os exercícios findos em 31 de dezembro de 201</w:t>
      </w:r>
      <w:r w:rsidR="00B408FE">
        <w:rPr>
          <w:iCs/>
          <w:color w:val="000000"/>
        </w:rPr>
        <w:t>6</w:t>
      </w:r>
      <w:r w:rsidRPr="00B8404E">
        <w:rPr>
          <w:iCs/>
          <w:color w:val="000000"/>
        </w:rPr>
        <w:t xml:space="preserve"> e 201</w:t>
      </w:r>
      <w:r w:rsidR="00B408FE">
        <w:rPr>
          <w:iCs/>
          <w:color w:val="000000"/>
        </w:rPr>
        <w:t>5</w:t>
      </w:r>
      <w:r w:rsidRPr="00B8404E">
        <w:rPr>
          <w:iCs/>
          <w:color w:val="000000"/>
        </w:rPr>
        <w:t>:</w:t>
      </w:r>
    </w:p>
    <w:p w:rsidR="00005302" w:rsidRPr="00B8404E" w:rsidRDefault="00005302" w:rsidP="00005302">
      <w:pPr>
        <w:pStyle w:val="Marcador1"/>
        <w:spacing w:after="0"/>
        <w:ind w:left="357" w:hanging="357"/>
        <w:rPr>
          <w:rFonts w:ascii="Calibri" w:eastAsia="Calibri" w:hAnsi="Calibri"/>
          <w:iCs/>
          <w:color w:val="000000"/>
          <w:szCs w:val="22"/>
        </w:rPr>
      </w:pPr>
      <w:r w:rsidRPr="00B8404E">
        <w:rPr>
          <w:rFonts w:ascii="Calibri" w:eastAsia="Calibri" w:hAnsi="Calibri"/>
          <w:iCs/>
          <w:color w:val="000000"/>
          <w:szCs w:val="22"/>
        </w:rPr>
        <w:t>IRPJ (Imposto de renda da Pessoa Jurídica)</w:t>
      </w:r>
    </w:p>
    <w:p w:rsidR="00005302" w:rsidRPr="00B8404E" w:rsidRDefault="00005302" w:rsidP="00005302">
      <w:pPr>
        <w:pStyle w:val="Marcador1"/>
        <w:spacing w:after="0"/>
        <w:ind w:left="357" w:hanging="357"/>
        <w:rPr>
          <w:rFonts w:ascii="Calibri" w:eastAsia="Calibri" w:hAnsi="Calibri"/>
          <w:iCs/>
          <w:color w:val="000000"/>
          <w:szCs w:val="22"/>
        </w:rPr>
      </w:pPr>
      <w:r w:rsidRPr="00B8404E">
        <w:rPr>
          <w:rFonts w:ascii="Calibri" w:eastAsia="Calibri" w:hAnsi="Calibri"/>
          <w:iCs/>
          <w:color w:val="000000"/>
          <w:szCs w:val="22"/>
        </w:rPr>
        <w:t>CSLL (Contribuição Social sobre o Lucro Líquido)</w:t>
      </w:r>
    </w:p>
    <w:p w:rsidR="00A2649E" w:rsidRDefault="00A2649E" w:rsidP="00A2649E">
      <w:pPr>
        <w:pStyle w:val="Marcador1"/>
        <w:numPr>
          <w:ilvl w:val="0"/>
          <w:numId w:val="0"/>
        </w:numPr>
        <w:spacing w:after="0"/>
        <w:rPr>
          <w:rFonts w:ascii="Calibri" w:eastAsia="Calibri" w:hAnsi="Calibri"/>
          <w:iCs/>
          <w:color w:val="000000"/>
          <w:szCs w:val="22"/>
        </w:rPr>
      </w:pPr>
    </w:p>
    <w:p w:rsidR="00A2649E" w:rsidRDefault="00D83C87" w:rsidP="00A2649E">
      <w:pPr>
        <w:widowControl w:val="0"/>
        <w:tabs>
          <w:tab w:val="left" w:pos="450"/>
        </w:tabs>
        <w:rPr>
          <w:iCs/>
          <w:color w:val="000000"/>
        </w:rPr>
      </w:pPr>
      <w:r>
        <w:rPr>
          <w:iCs/>
          <w:color w:val="000000"/>
        </w:rPr>
        <w:br/>
      </w:r>
      <w:r w:rsidR="0054513E">
        <w:rPr>
          <w:iCs/>
          <w:color w:val="000000"/>
        </w:rPr>
        <w:t>A Associação</w:t>
      </w:r>
      <w:r w:rsidR="00A2649E">
        <w:rPr>
          <w:iCs/>
          <w:color w:val="000000"/>
        </w:rPr>
        <w:t xml:space="preserve"> é isento</w:t>
      </w:r>
      <w:r w:rsidR="00A2649E" w:rsidRPr="00073905">
        <w:rPr>
          <w:iCs/>
          <w:color w:val="000000"/>
        </w:rPr>
        <w:t xml:space="preserve"> </w:t>
      </w:r>
      <w:r w:rsidR="00A2649E">
        <w:rPr>
          <w:iCs/>
          <w:color w:val="000000"/>
        </w:rPr>
        <w:t>do Imposto de Renda (IRPJ) e da Contribuição Social sobre o Lucro (CSLL) por sua natureza e objeto, conforme artigo 15 da Lei 9.532/1997</w:t>
      </w:r>
      <w:r w:rsidR="00A2649E" w:rsidRPr="00073905">
        <w:rPr>
          <w:iCs/>
          <w:color w:val="000000"/>
        </w:rPr>
        <w:t>.</w:t>
      </w:r>
    </w:p>
    <w:p w:rsidR="00A2649E" w:rsidRDefault="0054513E" w:rsidP="00A2649E">
      <w:pPr>
        <w:widowControl w:val="0"/>
        <w:tabs>
          <w:tab w:val="left" w:pos="450"/>
        </w:tabs>
        <w:rPr>
          <w:iCs/>
          <w:color w:val="000000"/>
        </w:rPr>
      </w:pPr>
      <w:r>
        <w:rPr>
          <w:iCs/>
          <w:color w:val="000000"/>
        </w:rPr>
        <w:t xml:space="preserve">A Associação </w:t>
      </w:r>
      <w:r w:rsidR="00A2649E">
        <w:rPr>
          <w:iCs/>
          <w:color w:val="000000"/>
        </w:rPr>
        <w:t xml:space="preserve">não é contribuinte do PIS na modalidade “Faturamento”, sendo contribuinte a alíquota de 1% </w:t>
      </w:r>
      <w:proofErr w:type="gramStart"/>
      <w:r w:rsidR="00A2649E">
        <w:rPr>
          <w:iCs/>
          <w:color w:val="000000"/>
        </w:rPr>
        <w:t>na  modalidade</w:t>
      </w:r>
      <w:proofErr w:type="gramEnd"/>
      <w:r w:rsidR="00A2649E">
        <w:rPr>
          <w:iCs/>
          <w:color w:val="000000"/>
        </w:rPr>
        <w:t xml:space="preserve"> folha de salários, conforme IN 247/2002.</w:t>
      </w:r>
    </w:p>
    <w:p w:rsidR="00B8404E" w:rsidRDefault="00B8404E" w:rsidP="009C67AD">
      <w:pPr>
        <w:jc w:val="center"/>
        <w:rPr>
          <w:rFonts w:ascii="Arial" w:hAnsi="Arial" w:cs="Arial"/>
          <w:sz w:val="20"/>
          <w:szCs w:val="20"/>
        </w:rPr>
      </w:pPr>
    </w:p>
    <w:p w:rsidR="009C67AD" w:rsidRPr="009C67AD" w:rsidRDefault="009C67AD" w:rsidP="009C67AD">
      <w:pPr>
        <w:jc w:val="center"/>
        <w:rPr>
          <w:rFonts w:cs="Calibri"/>
        </w:rPr>
      </w:pPr>
      <w:r w:rsidRPr="009C67AD">
        <w:rPr>
          <w:rFonts w:cs="Calibri"/>
        </w:rPr>
        <w:t xml:space="preserve">São Paulo, 31 de </w:t>
      </w:r>
      <w:proofErr w:type="gramStart"/>
      <w:r w:rsidRPr="009C67AD">
        <w:rPr>
          <w:rFonts w:cs="Calibri"/>
        </w:rPr>
        <w:t>Dezembro</w:t>
      </w:r>
      <w:proofErr w:type="gramEnd"/>
      <w:r w:rsidRPr="009C67AD">
        <w:rPr>
          <w:rFonts w:cs="Calibri"/>
        </w:rPr>
        <w:t xml:space="preserve"> de 201</w:t>
      </w:r>
      <w:r w:rsidR="00067050">
        <w:rPr>
          <w:rFonts w:cs="Calibri"/>
        </w:rPr>
        <w:t>6</w:t>
      </w:r>
      <w:r w:rsidRPr="009C67AD">
        <w:rPr>
          <w:rFonts w:cs="Calibri"/>
        </w:rPr>
        <w:t>.</w:t>
      </w:r>
    </w:p>
    <w:p w:rsidR="00F507EE" w:rsidRPr="009C67AD" w:rsidRDefault="00F507EE" w:rsidP="00C423F0">
      <w:pPr>
        <w:rPr>
          <w:rFonts w:cs="Calibri"/>
        </w:rPr>
      </w:pPr>
      <w:bookmarkStart w:id="2" w:name="_GoBack"/>
      <w:bookmarkEnd w:id="2"/>
    </w:p>
    <w:sectPr w:rsidR="00F507EE" w:rsidRPr="009C67AD" w:rsidSect="0079168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2D2F" w:rsidRDefault="00B12D2F" w:rsidP="00EF5515">
      <w:pPr>
        <w:spacing w:after="0" w:line="240" w:lineRule="auto"/>
      </w:pPr>
      <w:r>
        <w:separator/>
      </w:r>
    </w:p>
  </w:endnote>
  <w:endnote w:type="continuationSeparator" w:id="0">
    <w:p w:rsidR="00B12D2F" w:rsidRDefault="00B12D2F" w:rsidP="00EF55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66C4" w:rsidRDefault="000166C4" w:rsidP="00DC0EB3">
    <w:pPr>
      <w:pStyle w:val="Rodap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2D2F" w:rsidRDefault="00B12D2F" w:rsidP="00EF5515">
      <w:pPr>
        <w:spacing w:after="0" w:line="240" w:lineRule="auto"/>
      </w:pPr>
      <w:r>
        <w:separator/>
      </w:r>
    </w:p>
  </w:footnote>
  <w:footnote w:type="continuationSeparator" w:id="0">
    <w:p w:rsidR="00B12D2F" w:rsidRDefault="00B12D2F" w:rsidP="00EF55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192C" w:rsidRPr="007F192C" w:rsidRDefault="00DE31EC" w:rsidP="00DE41D8">
    <w:pPr>
      <w:pStyle w:val="Cabealho"/>
      <w:tabs>
        <w:tab w:val="left" w:pos="284"/>
      </w:tabs>
      <w:jc w:val="center"/>
      <w:rPr>
        <w:b/>
        <w:i/>
      </w:rPr>
    </w:pPr>
    <w:r>
      <w:rPr>
        <w:b/>
        <w:noProof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995045</wp:posOffset>
              </wp:positionH>
              <wp:positionV relativeFrom="paragraph">
                <wp:posOffset>-288925</wp:posOffset>
              </wp:positionV>
              <wp:extent cx="3743325" cy="295275"/>
              <wp:effectExtent l="0" t="0" r="0" b="0"/>
              <wp:wrapNone/>
              <wp:docPr id="1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43325" cy="2952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8727E" w:rsidRPr="00DE41D8" w:rsidRDefault="00DE41D8" w:rsidP="00DE41D8">
                          <w:pPr>
                            <w:ind w:left="-284"/>
                            <w:jc w:val="center"/>
                            <w:rPr>
                              <w:b/>
                              <w:sz w:val="24"/>
                              <w:szCs w:val="24"/>
                            </w:rPr>
                          </w:pPr>
                          <w:r w:rsidRPr="00DE41D8">
                            <w:rPr>
                              <w:b/>
                              <w:sz w:val="24"/>
                              <w:szCs w:val="24"/>
                            </w:rPr>
                            <w:t>ABCR - Associação Brasileira de Captadores de Recursos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78.35pt;margin-top:-22.75pt;width:294.75pt;height:23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" filled="f" stroked="f">
              <v:textbox>
                <w:txbxContent>
                  <w:p w:rsidR="00A8727E" w:rsidRPr="00DE41D8" w:rsidRDefault="00DE41D8" w:rsidP="00DE41D8">
                    <w:pPr>
                      <w:ind w:left="-284"/>
                      <w:jc w:val="center"/>
                      <w:rPr>
                        <w:b/>
                        <w:sz w:val="24"/>
                        <w:szCs w:val="24"/>
                      </w:rPr>
                    </w:pPr>
                    <w:r w:rsidRPr="00DE41D8">
                      <w:rPr>
                        <w:b/>
                        <w:sz w:val="24"/>
                        <w:szCs w:val="24"/>
                      </w:rPr>
                      <w:t>ABCR - Associação Brasileira de Captadores de Recursos</w:t>
                    </w:r>
                  </w:p>
                </w:txbxContent>
              </v:textbox>
            </v:shape>
          </w:pict>
        </mc:Fallback>
      </mc:AlternateContent>
    </w:r>
    <w:r>
      <w:rPr>
        <w:b/>
        <w:noProof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1786890</wp:posOffset>
              </wp:positionH>
              <wp:positionV relativeFrom="paragraph">
                <wp:posOffset>-5715</wp:posOffset>
              </wp:positionV>
              <wp:extent cx="2000250" cy="260350"/>
              <wp:effectExtent l="0" t="0" r="0" b="0"/>
              <wp:wrapNone/>
              <wp:docPr id="30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00250" cy="2603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F192C" w:rsidRDefault="00265FDB" w:rsidP="00A8727E">
                          <w:pPr>
                            <w:jc w:val="center"/>
                          </w:pPr>
                          <w:r>
                            <w:t xml:space="preserve">CNPJ: </w:t>
                          </w:r>
                          <w:r w:rsidR="00D22C65">
                            <w:t>04.062.541/0001-03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27" type="#_x0000_t202" style="position:absolute;left:0;text-align:left;margin-left:140.7pt;margin-top:-.45pt;width:157.5pt;height:2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" filled="f" stroked="f">
              <v:textbox>
                <w:txbxContent>
                  <w:p w:rsidR="007F192C" w:rsidRDefault="00265FDB" w:rsidP="00A8727E">
                    <w:pPr>
                      <w:jc w:val="center"/>
                    </w:pPr>
                    <w:r>
                      <w:t xml:space="preserve">CNPJ: </w:t>
                    </w:r>
                    <w:r w:rsidR="00D22C65">
                      <w:t>04.062.541/0001-03</w:t>
                    </w:r>
                  </w:p>
                </w:txbxContent>
              </v:textbox>
            </v:shape>
          </w:pict>
        </mc:Fallback>
      </mc:AlternateContent>
    </w:r>
    <w:r w:rsidR="00DE41D8" w:rsidRPr="007F192C">
      <w:rPr>
        <w:b/>
        <w:i/>
        <w:noProof/>
        <w:lang w:eastAsia="pt-BR"/>
      </w:rPr>
      <w:drawing>
        <wp:anchor distT="0" distB="0" distL="114300" distR="114300" simplePos="0" relativeHeight="251659264" behindDoc="0" locked="0" layoutInCell="1" allowOverlap="1" wp14:anchorId="7E2FBB71" wp14:editId="0836DCC2">
          <wp:simplePos x="0" y="0"/>
          <wp:positionH relativeFrom="column">
            <wp:posOffset>-575310</wp:posOffset>
          </wp:positionH>
          <wp:positionV relativeFrom="paragraph">
            <wp:posOffset>-190500</wp:posOffset>
          </wp:positionV>
          <wp:extent cx="1209040" cy="546018"/>
          <wp:effectExtent l="0" t="0" r="0" b="0"/>
          <wp:wrapNone/>
          <wp:docPr id="146" name="Imagem 1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09040" cy="54601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:rsidR="007F192C" w:rsidRDefault="00DE31EC" w:rsidP="007F192C">
    <w:pPr>
      <w:pStyle w:val="Cabealho"/>
      <w:tabs>
        <w:tab w:val="left" w:pos="10530"/>
        <w:tab w:val="right" w:pos="14002"/>
      </w:tabs>
      <w:jc w:val="left"/>
      <w:rPr>
        <w:b/>
      </w:rPr>
    </w:pPr>
    <w:r>
      <w:rPr>
        <w:b/>
        <w:noProof/>
        <w:lang w:eastAsia="pt-BR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3361055</wp:posOffset>
              </wp:positionH>
              <wp:positionV relativeFrom="paragraph">
                <wp:posOffset>10160</wp:posOffset>
              </wp:positionV>
              <wp:extent cx="3028950" cy="295275"/>
              <wp:effectExtent l="0" t="0" r="0" b="0"/>
              <wp:wrapNone/>
              <wp:docPr id="13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28950" cy="2952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265FDB" w:rsidRPr="00D83C87" w:rsidRDefault="00265FDB" w:rsidP="00265FDB">
                          <w:pPr>
                            <w:jc w:val="right"/>
                            <w:rPr>
                              <w:b/>
                              <w:sz w:val="20"/>
                              <w:szCs w:val="20"/>
                            </w:rPr>
                          </w:pPr>
                          <w:r w:rsidRPr="00D83C87">
                            <w:rPr>
                              <w:b/>
                              <w:sz w:val="20"/>
                              <w:szCs w:val="20"/>
                            </w:rPr>
                            <w:t>Demonstrações contábeis encerradas em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28" type="#_x0000_t202" style="position:absolute;margin-left:264.65pt;margin-top:.8pt;width:238.5pt;height:23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" filled="f" stroked="f">
              <v:textbox>
                <w:txbxContent>
                  <w:p w:rsidR="00265FDB" w:rsidRPr="00D83C87" w:rsidRDefault="00265FDB" w:rsidP="00265FDB">
                    <w:pPr>
                      <w:jc w:val="right"/>
                      <w:rPr>
                        <w:b/>
                        <w:sz w:val="20"/>
                        <w:szCs w:val="20"/>
                      </w:rPr>
                    </w:pPr>
                    <w:r w:rsidRPr="00D83C87">
                      <w:rPr>
                        <w:b/>
                        <w:sz w:val="20"/>
                        <w:szCs w:val="20"/>
                      </w:rPr>
                      <w:t>Demonstrações contábeis encerradas em</w:t>
                    </w:r>
                  </w:p>
                </w:txbxContent>
              </v:textbox>
            </v:shape>
          </w:pict>
        </mc:Fallback>
      </mc:AlternateContent>
    </w:r>
    <w:r>
      <w:rPr>
        <w:b/>
        <w:noProof/>
        <w:lang w:eastAsia="pt-BR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column">
                <wp:posOffset>3361055</wp:posOffset>
              </wp:positionH>
              <wp:positionV relativeFrom="paragraph">
                <wp:posOffset>172720</wp:posOffset>
              </wp:positionV>
              <wp:extent cx="3028950" cy="295275"/>
              <wp:effectExtent l="0" t="0" r="0" b="0"/>
              <wp:wrapNone/>
              <wp:docPr id="14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28950" cy="2952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265FDB" w:rsidRPr="00265FDB" w:rsidRDefault="00265FDB" w:rsidP="00265FDB">
                          <w:pPr>
                            <w:jc w:val="right"/>
                            <w:rPr>
                              <w:b/>
                              <w:sz w:val="20"/>
                              <w:szCs w:val="20"/>
                            </w:rPr>
                          </w:pPr>
                          <w:r w:rsidRPr="00265FDB">
                            <w:rPr>
                              <w:b/>
                              <w:sz w:val="20"/>
                              <w:szCs w:val="20"/>
                            </w:rPr>
                            <w:t>31 de dezembro de 201</w:t>
                          </w:r>
                          <w:r w:rsidR="00CC7777">
                            <w:rPr>
                              <w:b/>
                              <w:sz w:val="20"/>
                              <w:szCs w:val="20"/>
                            </w:rPr>
                            <w:t>6</w:t>
                          </w:r>
                          <w:r w:rsidRPr="00265FDB">
                            <w:rPr>
                              <w:b/>
                              <w:sz w:val="20"/>
                              <w:szCs w:val="20"/>
                            </w:rPr>
                            <w:t xml:space="preserve"> e 201</w:t>
                          </w:r>
                          <w:r w:rsidR="00CC7777">
                            <w:rPr>
                              <w:b/>
                              <w:sz w:val="20"/>
                              <w:szCs w:val="20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29" type="#_x0000_t202" style="position:absolute;margin-left:264.65pt;margin-top:13.6pt;width:238.5pt;height:23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" filled="f" stroked="f">
              <v:textbox>
                <w:txbxContent>
                  <w:p w:rsidR="00265FDB" w:rsidRPr="00265FDB" w:rsidRDefault="00265FDB" w:rsidP="00265FDB">
                    <w:pPr>
                      <w:jc w:val="right"/>
                      <w:rPr>
                        <w:b/>
                        <w:sz w:val="20"/>
                        <w:szCs w:val="20"/>
                      </w:rPr>
                    </w:pPr>
                    <w:r w:rsidRPr="00265FDB">
                      <w:rPr>
                        <w:b/>
                        <w:sz w:val="20"/>
                        <w:szCs w:val="20"/>
                      </w:rPr>
                      <w:t>31 de dezembro de 201</w:t>
                    </w:r>
                    <w:r w:rsidR="00CC7777">
                      <w:rPr>
                        <w:b/>
                        <w:sz w:val="20"/>
                        <w:szCs w:val="20"/>
                      </w:rPr>
                      <w:t>6</w:t>
                    </w:r>
                    <w:r w:rsidRPr="00265FDB">
                      <w:rPr>
                        <w:b/>
                        <w:sz w:val="20"/>
                        <w:szCs w:val="20"/>
                      </w:rPr>
                      <w:t xml:space="preserve"> e 201</w:t>
                    </w:r>
                    <w:r w:rsidR="00CC7777">
                      <w:rPr>
                        <w:b/>
                        <w:sz w:val="20"/>
                        <w:szCs w:val="20"/>
                      </w:rPr>
                      <w:t>5</w:t>
                    </w:r>
                  </w:p>
                </w:txbxContent>
              </v:textbox>
            </v:shape>
          </w:pict>
        </mc:Fallback>
      </mc:AlternateContent>
    </w:r>
  </w:p>
  <w:p w:rsidR="007F192C" w:rsidRPr="007F192C" w:rsidRDefault="007F192C" w:rsidP="00D83C87">
    <w:pPr>
      <w:pStyle w:val="Cabealho"/>
      <w:tabs>
        <w:tab w:val="left" w:pos="10530"/>
        <w:tab w:val="right" w:pos="14002"/>
      </w:tabs>
      <w:ind w:left="708"/>
      <w:rPr>
        <w:b/>
        <w:i/>
      </w:rPr>
    </w:pPr>
    <w:r w:rsidRPr="007F192C">
      <w:rPr>
        <w:b/>
        <w:i/>
      </w:rPr>
      <w:tab/>
    </w:r>
    <w:r w:rsidRPr="007F192C">
      <w:rPr>
        <w:b/>
        <w:i/>
      </w:rPr>
      <w:tab/>
    </w:r>
    <w:r w:rsidRPr="007F192C">
      <w:rPr>
        <w:b/>
        <w:i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077E24"/>
    <w:multiLevelType w:val="multilevel"/>
    <w:tmpl w:val="F67EDA16"/>
    <w:lvl w:ilvl="0">
      <w:start w:val="1"/>
      <w:numFmt w:val="lowerLetter"/>
      <w:pStyle w:val="Corpodotexto12Negrito"/>
      <w:lvlText w:val="%1."/>
      <w:lvlJc w:val="right"/>
      <w:pPr>
        <w:ind w:left="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pStyle w:val="Corpodotexto12NegritoItlico"/>
      <w:lvlText w:val="%1.%2"/>
      <w:lvlJc w:val="right"/>
      <w:pPr>
        <w:ind w:left="0" w:hanging="360"/>
      </w:pPr>
      <w:rPr>
        <w:rFonts w:ascii="Times New Roman" w:hAnsi="Times New Roman" w:hint="default"/>
        <w:b/>
        <w:i/>
        <w:sz w:val="24"/>
      </w:rPr>
    </w:lvl>
    <w:lvl w:ilvl="2">
      <w:start w:val="1"/>
      <w:numFmt w:val="decimal"/>
      <w:pStyle w:val="Corpodotexto12Itlico"/>
      <w:lvlText w:val="%1.%2.%3"/>
      <w:lvlJc w:val="right"/>
      <w:pPr>
        <w:tabs>
          <w:tab w:val="num" w:pos="-31680"/>
        </w:tabs>
        <w:ind w:left="0" w:hanging="360"/>
      </w:pPr>
      <w:rPr>
        <w:rFonts w:ascii="Times New Roman" w:hAnsi="Times New Roman" w:hint="default"/>
        <w:b w:val="0"/>
        <w:i/>
        <w:sz w:val="24"/>
      </w:rPr>
    </w:lvl>
    <w:lvl w:ilvl="3">
      <w:start w:val="1"/>
      <w:numFmt w:val="decimal"/>
      <w:pStyle w:val="Corpodotexto11Negrito"/>
      <w:lvlText w:val="%1.%2.%3.%4"/>
      <w:lvlJc w:val="right"/>
      <w:pPr>
        <w:ind w:left="0" w:hanging="360"/>
      </w:pPr>
      <w:rPr>
        <w:rFonts w:ascii="Times New Roman" w:hAnsi="Times New Roman" w:hint="default"/>
        <w:b/>
        <w:i w:val="0"/>
        <w:sz w:val="22"/>
      </w:rPr>
    </w:lvl>
    <w:lvl w:ilvl="4">
      <w:start w:val="1"/>
      <w:numFmt w:val="decimal"/>
      <w:lvlText w:val="%1.%2.%3.%4.%5."/>
      <w:lvlJc w:val="left"/>
      <w:pPr>
        <w:ind w:left="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hanging="360"/>
      </w:pPr>
      <w:rPr>
        <w:rFonts w:hint="default"/>
      </w:rPr>
    </w:lvl>
  </w:abstractNum>
  <w:abstractNum w:abstractNumId="1" w15:restartNumberingAfterBreak="0">
    <w:nsid w:val="108902D1"/>
    <w:multiLevelType w:val="hybridMultilevel"/>
    <w:tmpl w:val="7BDAE6F0"/>
    <w:lvl w:ilvl="0" w:tplc="1A6AAE04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  <w:color w:val="auto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B52298"/>
    <w:multiLevelType w:val="hybridMultilevel"/>
    <w:tmpl w:val="84982F5E"/>
    <w:lvl w:ilvl="0" w:tplc="04160019">
      <w:start w:val="8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77008F"/>
    <w:multiLevelType w:val="hybridMultilevel"/>
    <w:tmpl w:val="36DAC4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E14911"/>
    <w:multiLevelType w:val="hybridMultilevel"/>
    <w:tmpl w:val="6F441DCC"/>
    <w:lvl w:ilvl="0" w:tplc="B8EE0A1A">
      <w:start w:val="1"/>
      <w:numFmt w:val="decimal"/>
      <w:lvlText w:val="%1."/>
      <w:lvlJc w:val="left"/>
      <w:pPr>
        <w:ind w:left="720" w:hanging="360"/>
      </w:pPr>
      <w:rPr>
        <w:b/>
        <w:color w:val="365F9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A53CE9"/>
    <w:multiLevelType w:val="hybridMultilevel"/>
    <w:tmpl w:val="F698BE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2D1482"/>
    <w:multiLevelType w:val="multilevel"/>
    <w:tmpl w:val="2C3EBFBC"/>
    <w:lvl w:ilvl="0">
      <w:start w:val="1"/>
      <w:numFmt w:val="decimal"/>
      <w:pStyle w:val="1TtuloprincipalDF"/>
      <w:lvlText w:val="%1"/>
      <w:lvlJc w:val="right"/>
      <w:pPr>
        <w:ind w:left="0" w:hanging="360"/>
      </w:pPr>
      <w:rPr>
        <w:rFonts w:ascii="Times New Roman" w:hAnsi="Times New Roman" w:hint="default"/>
        <w:b/>
        <w:i w:val="0"/>
        <w:sz w:val="28"/>
      </w:rPr>
    </w:lvl>
    <w:lvl w:ilvl="1">
      <w:start w:val="1"/>
      <w:numFmt w:val="decimal"/>
      <w:pStyle w:val="11Subttulo1nvelDF"/>
      <w:lvlText w:val="%1.%2"/>
      <w:lvlJc w:val="right"/>
      <w:pPr>
        <w:ind w:left="0" w:hanging="360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pStyle w:val="111Subttulo2nvelDF"/>
      <w:lvlText w:val="%1.%2.%3"/>
      <w:lvlJc w:val="right"/>
      <w:pPr>
        <w:tabs>
          <w:tab w:val="num" w:pos="-31680"/>
        </w:tabs>
        <w:ind w:left="0" w:hanging="360"/>
      </w:pPr>
      <w:rPr>
        <w:rFonts w:ascii="Times New Roman" w:hAnsi="Times New Roman" w:hint="default"/>
        <w:b/>
        <w:i/>
        <w:sz w:val="24"/>
      </w:rPr>
    </w:lvl>
    <w:lvl w:ilvl="3">
      <w:start w:val="1"/>
      <w:numFmt w:val="decimal"/>
      <w:pStyle w:val="1111Subttulo3nvelDF"/>
      <w:lvlText w:val="%1.%2.%3.%4"/>
      <w:lvlJc w:val="right"/>
      <w:pPr>
        <w:ind w:left="0" w:hanging="360"/>
      </w:pPr>
      <w:rPr>
        <w:rFonts w:ascii="Times New Roman" w:hAnsi="Times New Roman" w:hint="default"/>
        <w:b w:val="0"/>
        <w:i/>
        <w:sz w:val="24"/>
      </w:rPr>
    </w:lvl>
    <w:lvl w:ilvl="4">
      <w:start w:val="1"/>
      <w:numFmt w:val="decimal"/>
      <w:lvlText w:val="%1.%2.%3.%4.%5."/>
      <w:lvlJc w:val="left"/>
      <w:pPr>
        <w:ind w:left="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hanging="360"/>
      </w:pPr>
      <w:rPr>
        <w:rFonts w:hint="default"/>
      </w:rPr>
    </w:lvl>
  </w:abstractNum>
  <w:abstractNum w:abstractNumId="7" w15:restartNumberingAfterBreak="0">
    <w:nsid w:val="537F02D2"/>
    <w:multiLevelType w:val="hybridMultilevel"/>
    <w:tmpl w:val="7B806F46"/>
    <w:lvl w:ilvl="0" w:tplc="496C4B7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187509"/>
    <w:multiLevelType w:val="multilevel"/>
    <w:tmpl w:val="5B7AB2C8"/>
    <w:lvl w:ilvl="0">
      <w:start w:val="1"/>
      <w:numFmt w:val="decimal"/>
      <w:lvlText w:val=""/>
      <w:lvlJc w:val="right"/>
      <w:pPr>
        <w:ind w:left="0" w:hanging="360"/>
      </w:pPr>
      <w:rPr>
        <w:b/>
        <w:i w:val="0"/>
        <w:sz w:val="28"/>
      </w:rPr>
    </w:lvl>
    <w:lvl w:ilvl="1">
      <w:start w:val="1"/>
      <w:numFmt w:val="decimal"/>
      <w:lvlText w:val="%1.%2"/>
      <w:lvlJc w:val="right"/>
      <w:pPr>
        <w:ind w:left="0" w:hanging="360"/>
      </w:pPr>
      <w:rPr>
        <w:b/>
        <w:i w:val="0"/>
        <w:sz w:val="24"/>
      </w:rPr>
    </w:lvl>
    <w:lvl w:ilvl="2">
      <w:start w:val="1"/>
      <w:numFmt w:val="decimal"/>
      <w:lvlText w:val="%1.%2.%3"/>
      <w:lvlJc w:val="right"/>
      <w:pPr>
        <w:ind w:left="0" w:hanging="360"/>
      </w:pPr>
      <w:rPr>
        <w:b/>
        <w:i/>
        <w:sz w:val="24"/>
      </w:rPr>
    </w:lvl>
    <w:lvl w:ilvl="3">
      <w:start w:val="1"/>
      <w:numFmt w:val="decimal"/>
      <w:lvlText w:val="%1.%2.%3.%4"/>
      <w:lvlJc w:val="right"/>
      <w:pPr>
        <w:ind w:left="0" w:hanging="360"/>
      </w:pPr>
      <w:rPr>
        <w:b w:val="0"/>
        <w:i/>
        <w:sz w:val="24"/>
      </w:rPr>
    </w:lvl>
    <w:lvl w:ilvl="4">
      <w:start w:val="1"/>
      <w:numFmt w:val="decimal"/>
      <w:lvlText w:val="%1.%2.%3.%4.%5."/>
      <w:lvlJc w:val="left"/>
      <w:pPr>
        <w:ind w:left="0" w:hanging="360"/>
      </w:pPr>
    </w:lvl>
    <w:lvl w:ilvl="5">
      <w:start w:val="1"/>
      <w:numFmt w:val="decimal"/>
      <w:lvlText w:val="%1.%2.%3.%4.%5.%6."/>
      <w:lvlJc w:val="left"/>
      <w:pPr>
        <w:ind w:left="0" w:hanging="360"/>
      </w:pPr>
    </w:lvl>
    <w:lvl w:ilvl="6">
      <w:start w:val="1"/>
      <w:numFmt w:val="decimal"/>
      <w:lvlText w:val="%1.%2.%3.%4.%5.%6.%7."/>
      <w:lvlJc w:val="left"/>
      <w:pPr>
        <w:ind w:left="0" w:hanging="360"/>
      </w:pPr>
    </w:lvl>
    <w:lvl w:ilvl="7">
      <w:start w:val="1"/>
      <w:numFmt w:val="decimal"/>
      <w:lvlText w:val="%1.%2.%3.%4.%5.%6.%7.%8."/>
      <w:lvlJc w:val="left"/>
      <w:pPr>
        <w:ind w:left="0" w:hanging="360"/>
      </w:pPr>
    </w:lvl>
    <w:lvl w:ilvl="8">
      <w:start w:val="1"/>
      <w:numFmt w:val="decimal"/>
      <w:lvlText w:val="%1.%2.%3.%4.%5.%6.%7.%8.%9."/>
      <w:lvlJc w:val="left"/>
      <w:pPr>
        <w:ind w:left="0" w:hanging="360"/>
      </w:pPr>
    </w:lvl>
  </w:abstractNum>
  <w:abstractNum w:abstractNumId="9" w15:restartNumberingAfterBreak="0">
    <w:nsid w:val="6B131856"/>
    <w:multiLevelType w:val="hybridMultilevel"/>
    <w:tmpl w:val="2120549C"/>
    <w:lvl w:ilvl="0" w:tplc="76B8DCE6">
      <w:start w:val="1"/>
      <w:numFmt w:val="bullet"/>
      <w:pStyle w:val="Marcador1"/>
      <w:lvlText w:val=""/>
      <w:lvlJc w:val="right"/>
      <w:pPr>
        <w:ind w:left="720" w:hanging="360"/>
      </w:pPr>
      <w:rPr>
        <w:rFonts w:ascii="Symbol" w:hAnsi="Symbol" w:hint="default"/>
        <w:b w:val="0"/>
        <w:i w:val="0"/>
        <w:sz w:val="22"/>
      </w:rPr>
    </w:lvl>
    <w:lvl w:ilvl="1" w:tplc="0074BAE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E023A9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AC6EE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0FE0C0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E2A5F6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287BA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1E9E2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560873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3B11DA"/>
    <w:multiLevelType w:val="hybridMultilevel"/>
    <w:tmpl w:val="03E481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A41CF1"/>
    <w:multiLevelType w:val="hybridMultilevel"/>
    <w:tmpl w:val="732CDD5E"/>
    <w:lvl w:ilvl="0" w:tplc="7D6E61E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C21230"/>
    <w:multiLevelType w:val="hybridMultilevel"/>
    <w:tmpl w:val="06F8A538"/>
    <w:lvl w:ilvl="0" w:tplc="819A6362">
      <w:start w:val="15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7"/>
  </w:num>
  <w:num w:numId="5">
    <w:abstractNumId w:val="11"/>
  </w:num>
  <w:num w:numId="6">
    <w:abstractNumId w:val="9"/>
  </w:num>
  <w:num w:numId="7">
    <w:abstractNumId w:val="12"/>
  </w:num>
  <w:num w:numId="8">
    <w:abstractNumId w:val="2"/>
  </w:num>
  <w:num w:numId="9">
    <w:abstractNumId w:val="5"/>
  </w:num>
  <w:num w:numId="10">
    <w:abstractNumId w:val="10"/>
  </w:num>
  <w:num w:numId="11">
    <w:abstractNumId w:val="4"/>
  </w:num>
  <w:num w:numId="12">
    <w:abstractNumId w:val="8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12A"/>
    <w:rsid w:val="00005302"/>
    <w:rsid w:val="00006575"/>
    <w:rsid w:val="000166C4"/>
    <w:rsid w:val="00025F79"/>
    <w:rsid w:val="0005722F"/>
    <w:rsid w:val="000627E1"/>
    <w:rsid w:val="00067050"/>
    <w:rsid w:val="00072059"/>
    <w:rsid w:val="00080D04"/>
    <w:rsid w:val="00083E1E"/>
    <w:rsid w:val="000958A7"/>
    <w:rsid w:val="00097FEC"/>
    <w:rsid w:val="000A08D6"/>
    <w:rsid w:val="000A234D"/>
    <w:rsid w:val="000A25EC"/>
    <w:rsid w:val="000B0BB2"/>
    <w:rsid w:val="000D1DE4"/>
    <w:rsid w:val="000D585C"/>
    <w:rsid w:val="000E682F"/>
    <w:rsid w:val="000F65B7"/>
    <w:rsid w:val="000F6C84"/>
    <w:rsid w:val="000F7021"/>
    <w:rsid w:val="00124D02"/>
    <w:rsid w:val="001272F2"/>
    <w:rsid w:val="001409FA"/>
    <w:rsid w:val="00142BCC"/>
    <w:rsid w:val="00166A02"/>
    <w:rsid w:val="00184A3D"/>
    <w:rsid w:val="00186C5B"/>
    <w:rsid w:val="00190166"/>
    <w:rsid w:val="001A0190"/>
    <w:rsid w:val="001A4B18"/>
    <w:rsid w:val="001C23D2"/>
    <w:rsid w:val="001C29C9"/>
    <w:rsid w:val="001C6365"/>
    <w:rsid w:val="001E254C"/>
    <w:rsid w:val="001E265B"/>
    <w:rsid w:val="001E2E33"/>
    <w:rsid w:val="00203EC9"/>
    <w:rsid w:val="00205F83"/>
    <w:rsid w:val="00207A7E"/>
    <w:rsid w:val="00207F7C"/>
    <w:rsid w:val="00214048"/>
    <w:rsid w:val="00221E78"/>
    <w:rsid w:val="00225B23"/>
    <w:rsid w:val="002267F1"/>
    <w:rsid w:val="002311C5"/>
    <w:rsid w:val="00232099"/>
    <w:rsid w:val="00256C9F"/>
    <w:rsid w:val="00265ADA"/>
    <w:rsid w:val="00265FDB"/>
    <w:rsid w:val="00282CD2"/>
    <w:rsid w:val="00287116"/>
    <w:rsid w:val="00293AE9"/>
    <w:rsid w:val="002A6EA4"/>
    <w:rsid w:val="002C7DAF"/>
    <w:rsid w:val="002D0159"/>
    <w:rsid w:val="002D0AAA"/>
    <w:rsid w:val="002F7DBB"/>
    <w:rsid w:val="003003D2"/>
    <w:rsid w:val="0030473E"/>
    <w:rsid w:val="003053F4"/>
    <w:rsid w:val="00305BCC"/>
    <w:rsid w:val="00312963"/>
    <w:rsid w:val="003143A3"/>
    <w:rsid w:val="00314D42"/>
    <w:rsid w:val="00321349"/>
    <w:rsid w:val="00332060"/>
    <w:rsid w:val="0034485A"/>
    <w:rsid w:val="003553AF"/>
    <w:rsid w:val="00356494"/>
    <w:rsid w:val="00377972"/>
    <w:rsid w:val="0038375B"/>
    <w:rsid w:val="003A37C3"/>
    <w:rsid w:val="003A5F13"/>
    <w:rsid w:val="0040246B"/>
    <w:rsid w:val="00414A36"/>
    <w:rsid w:val="004261F6"/>
    <w:rsid w:val="004410EF"/>
    <w:rsid w:val="004447B8"/>
    <w:rsid w:val="00444BB9"/>
    <w:rsid w:val="004503C5"/>
    <w:rsid w:val="004568D2"/>
    <w:rsid w:val="00481A86"/>
    <w:rsid w:val="004871EC"/>
    <w:rsid w:val="004C4392"/>
    <w:rsid w:val="004E3E09"/>
    <w:rsid w:val="004E569B"/>
    <w:rsid w:val="004E75B1"/>
    <w:rsid w:val="004F394B"/>
    <w:rsid w:val="004F5BCD"/>
    <w:rsid w:val="004F6CB7"/>
    <w:rsid w:val="00500261"/>
    <w:rsid w:val="005031DE"/>
    <w:rsid w:val="00532B4D"/>
    <w:rsid w:val="00533EC8"/>
    <w:rsid w:val="0054513E"/>
    <w:rsid w:val="00551E6E"/>
    <w:rsid w:val="00573EA9"/>
    <w:rsid w:val="00583F86"/>
    <w:rsid w:val="00585F91"/>
    <w:rsid w:val="005C78AA"/>
    <w:rsid w:val="005D6B4E"/>
    <w:rsid w:val="005D7071"/>
    <w:rsid w:val="005F7451"/>
    <w:rsid w:val="006563EF"/>
    <w:rsid w:val="00657438"/>
    <w:rsid w:val="00664ECB"/>
    <w:rsid w:val="00665874"/>
    <w:rsid w:val="006724F9"/>
    <w:rsid w:val="00683765"/>
    <w:rsid w:val="00694C05"/>
    <w:rsid w:val="006A60A6"/>
    <w:rsid w:val="006B6F9D"/>
    <w:rsid w:val="006C6962"/>
    <w:rsid w:val="006D0508"/>
    <w:rsid w:val="006E4955"/>
    <w:rsid w:val="006F401C"/>
    <w:rsid w:val="00700CF0"/>
    <w:rsid w:val="00710D88"/>
    <w:rsid w:val="0072772F"/>
    <w:rsid w:val="007326C3"/>
    <w:rsid w:val="00743552"/>
    <w:rsid w:val="007563BC"/>
    <w:rsid w:val="00757E80"/>
    <w:rsid w:val="00790EA9"/>
    <w:rsid w:val="00791685"/>
    <w:rsid w:val="00797445"/>
    <w:rsid w:val="007A1169"/>
    <w:rsid w:val="007A5747"/>
    <w:rsid w:val="007B2307"/>
    <w:rsid w:val="007C02D3"/>
    <w:rsid w:val="007D69AB"/>
    <w:rsid w:val="007D7396"/>
    <w:rsid w:val="007D7B11"/>
    <w:rsid w:val="007E475D"/>
    <w:rsid w:val="007E793E"/>
    <w:rsid w:val="007F192C"/>
    <w:rsid w:val="008141F2"/>
    <w:rsid w:val="00827BA7"/>
    <w:rsid w:val="00835089"/>
    <w:rsid w:val="00846817"/>
    <w:rsid w:val="00861573"/>
    <w:rsid w:val="00861D4F"/>
    <w:rsid w:val="00865643"/>
    <w:rsid w:val="008733FC"/>
    <w:rsid w:val="008933D9"/>
    <w:rsid w:val="008B274C"/>
    <w:rsid w:val="008F0B76"/>
    <w:rsid w:val="008F135A"/>
    <w:rsid w:val="008F335B"/>
    <w:rsid w:val="008F4A2D"/>
    <w:rsid w:val="009019C3"/>
    <w:rsid w:val="00906F4C"/>
    <w:rsid w:val="00914F6D"/>
    <w:rsid w:val="00916D04"/>
    <w:rsid w:val="00923F7C"/>
    <w:rsid w:val="009247FE"/>
    <w:rsid w:val="00931568"/>
    <w:rsid w:val="00945F76"/>
    <w:rsid w:val="00956E94"/>
    <w:rsid w:val="0097737C"/>
    <w:rsid w:val="009849AB"/>
    <w:rsid w:val="00987084"/>
    <w:rsid w:val="00991FBE"/>
    <w:rsid w:val="00996E73"/>
    <w:rsid w:val="00996FA7"/>
    <w:rsid w:val="009A1B1F"/>
    <w:rsid w:val="009B18A5"/>
    <w:rsid w:val="009C4DFE"/>
    <w:rsid w:val="009C67AD"/>
    <w:rsid w:val="009D1D1C"/>
    <w:rsid w:val="009D439D"/>
    <w:rsid w:val="009E2D94"/>
    <w:rsid w:val="009E34CF"/>
    <w:rsid w:val="009E7731"/>
    <w:rsid w:val="009F2A7F"/>
    <w:rsid w:val="00A072E9"/>
    <w:rsid w:val="00A263FE"/>
    <w:rsid w:val="00A2649E"/>
    <w:rsid w:val="00A349F0"/>
    <w:rsid w:val="00A3675D"/>
    <w:rsid w:val="00A36901"/>
    <w:rsid w:val="00A4109F"/>
    <w:rsid w:val="00A8727E"/>
    <w:rsid w:val="00AC00D5"/>
    <w:rsid w:val="00AC367E"/>
    <w:rsid w:val="00AD764A"/>
    <w:rsid w:val="00AF3BC4"/>
    <w:rsid w:val="00B01CC3"/>
    <w:rsid w:val="00B05271"/>
    <w:rsid w:val="00B056D6"/>
    <w:rsid w:val="00B12D2F"/>
    <w:rsid w:val="00B235EA"/>
    <w:rsid w:val="00B408FE"/>
    <w:rsid w:val="00B4299D"/>
    <w:rsid w:val="00B42CD8"/>
    <w:rsid w:val="00B43606"/>
    <w:rsid w:val="00B6134A"/>
    <w:rsid w:val="00B8404E"/>
    <w:rsid w:val="00BA2969"/>
    <w:rsid w:val="00BA3C4C"/>
    <w:rsid w:val="00BC2293"/>
    <w:rsid w:val="00BC377A"/>
    <w:rsid w:val="00BC5BD0"/>
    <w:rsid w:val="00BE6FE7"/>
    <w:rsid w:val="00BF4C95"/>
    <w:rsid w:val="00C012CC"/>
    <w:rsid w:val="00C03E51"/>
    <w:rsid w:val="00C041DC"/>
    <w:rsid w:val="00C14CAF"/>
    <w:rsid w:val="00C2701D"/>
    <w:rsid w:val="00C32C3E"/>
    <w:rsid w:val="00C423F0"/>
    <w:rsid w:val="00C42FA4"/>
    <w:rsid w:val="00C4666E"/>
    <w:rsid w:val="00C627CD"/>
    <w:rsid w:val="00C64167"/>
    <w:rsid w:val="00C74340"/>
    <w:rsid w:val="00C9016C"/>
    <w:rsid w:val="00CA2DE9"/>
    <w:rsid w:val="00CB00BE"/>
    <w:rsid w:val="00CB3423"/>
    <w:rsid w:val="00CC1E49"/>
    <w:rsid w:val="00CC6B1A"/>
    <w:rsid w:val="00CC7777"/>
    <w:rsid w:val="00CE2C7E"/>
    <w:rsid w:val="00CE6EE7"/>
    <w:rsid w:val="00D1649A"/>
    <w:rsid w:val="00D22C65"/>
    <w:rsid w:val="00D33645"/>
    <w:rsid w:val="00D47356"/>
    <w:rsid w:val="00D530C8"/>
    <w:rsid w:val="00D6112A"/>
    <w:rsid w:val="00D7553C"/>
    <w:rsid w:val="00D82713"/>
    <w:rsid w:val="00D83C87"/>
    <w:rsid w:val="00D86C72"/>
    <w:rsid w:val="00D87D16"/>
    <w:rsid w:val="00D91BFF"/>
    <w:rsid w:val="00D929AC"/>
    <w:rsid w:val="00DA0C2C"/>
    <w:rsid w:val="00DA6622"/>
    <w:rsid w:val="00DA67C5"/>
    <w:rsid w:val="00DC0EB3"/>
    <w:rsid w:val="00DC3655"/>
    <w:rsid w:val="00DE31EC"/>
    <w:rsid w:val="00DE41D8"/>
    <w:rsid w:val="00DE7CA1"/>
    <w:rsid w:val="00DF1697"/>
    <w:rsid w:val="00DF2F42"/>
    <w:rsid w:val="00DF6984"/>
    <w:rsid w:val="00E02C48"/>
    <w:rsid w:val="00E03608"/>
    <w:rsid w:val="00E123DF"/>
    <w:rsid w:val="00E1728D"/>
    <w:rsid w:val="00E218DE"/>
    <w:rsid w:val="00E25FC8"/>
    <w:rsid w:val="00E310E1"/>
    <w:rsid w:val="00E87C5A"/>
    <w:rsid w:val="00E9585D"/>
    <w:rsid w:val="00EB2DBA"/>
    <w:rsid w:val="00EB431C"/>
    <w:rsid w:val="00EC0DC8"/>
    <w:rsid w:val="00EC77A8"/>
    <w:rsid w:val="00EE2D00"/>
    <w:rsid w:val="00EE348F"/>
    <w:rsid w:val="00EE3DFC"/>
    <w:rsid w:val="00EE7420"/>
    <w:rsid w:val="00EF5515"/>
    <w:rsid w:val="00F03BED"/>
    <w:rsid w:val="00F12232"/>
    <w:rsid w:val="00F171B5"/>
    <w:rsid w:val="00F20A50"/>
    <w:rsid w:val="00F22990"/>
    <w:rsid w:val="00F27006"/>
    <w:rsid w:val="00F40ED7"/>
    <w:rsid w:val="00F507EE"/>
    <w:rsid w:val="00F52174"/>
    <w:rsid w:val="00F570CB"/>
    <w:rsid w:val="00F678CB"/>
    <w:rsid w:val="00F67B5A"/>
    <w:rsid w:val="00F73637"/>
    <w:rsid w:val="00F837CB"/>
    <w:rsid w:val="00F9659C"/>
    <w:rsid w:val="00FB73B1"/>
    <w:rsid w:val="00FC421D"/>
    <w:rsid w:val="00FD6BE2"/>
    <w:rsid w:val="00FE0B5C"/>
    <w:rsid w:val="00FE18EF"/>
    <w:rsid w:val="00FE35FD"/>
    <w:rsid w:val="00FF7E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43C390"/>
  <w15:docId w15:val="{6BAEC11C-4989-4AA4-87AB-0CEF70541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1685"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32B4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E0B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E0B5C"/>
    <w:rPr>
      <w:rFonts w:ascii="Tahoma" w:hAnsi="Tahoma" w:cs="Tahoma"/>
      <w:sz w:val="16"/>
      <w:szCs w:val="16"/>
    </w:rPr>
  </w:style>
  <w:style w:type="paragraph" w:customStyle="1" w:styleId="Contedodatabela">
    <w:name w:val="Conteúdo da tabela"/>
    <w:basedOn w:val="Normal"/>
    <w:rsid w:val="00E218DE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paragraph" w:customStyle="1" w:styleId="OmniPage32">
    <w:name w:val="OmniPage #32"/>
    <w:basedOn w:val="Normal"/>
    <w:rsid w:val="00E218DE"/>
    <w:pPr>
      <w:tabs>
        <w:tab w:val="left" w:pos="292"/>
        <w:tab w:val="left" w:pos="4535"/>
        <w:tab w:val="right" w:pos="7177"/>
      </w:tabs>
      <w:spacing w:after="0" w:line="240" w:lineRule="auto"/>
      <w:ind w:left="2794" w:right="100"/>
    </w:pPr>
    <w:rPr>
      <w:rFonts w:ascii="Arial" w:eastAsia="Times New Roman" w:hAnsi="Arial" w:cs="Arial"/>
      <w:kern w:val="1"/>
      <w:sz w:val="20"/>
      <w:szCs w:val="20"/>
      <w:lang w:eastAsia="zh-CN"/>
    </w:rPr>
  </w:style>
  <w:style w:type="paragraph" w:styleId="NormalWeb">
    <w:name w:val="Normal (Web)"/>
    <w:basedOn w:val="Normal"/>
    <w:uiPriority w:val="99"/>
    <w:rsid w:val="005F7451"/>
    <w:pPr>
      <w:spacing w:before="100" w:after="100" w:line="240" w:lineRule="auto"/>
    </w:pPr>
    <w:rPr>
      <w:rFonts w:ascii="Times New Roman" w:eastAsia="Times New Roman" w:hAnsi="Times New Roman"/>
      <w:kern w:val="1"/>
      <w:sz w:val="24"/>
      <w:szCs w:val="24"/>
      <w:lang w:eastAsia="zh-CN"/>
    </w:rPr>
  </w:style>
  <w:style w:type="paragraph" w:customStyle="1" w:styleId="1TtuloprincipalDF">
    <w:name w:val="1 Título principalDF"/>
    <w:basedOn w:val="PargrafodaLista"/>
    <w:qFormat/>
    <w:rsid w:val="00C423F0"/>
    <w:pPr>
      <w:numPr>
        <w:numId w:val="2"/>
      </w:numPr>
      <w:spacing w:after="0" w:line="240" w:lineRule="auto"/>
      <w:outlineLvl w:val="0"/>
    </w:pPr>
    <w:rPr>
      <w:rFonts w:ascii="Times New Roman" w:eastAsiaTheme="minorHAnsi" w:hAnsi="Times New Roman"/>
      <w:b/>
      <w:sz w:val="28"/>
      <w:szCs w:val="24"/>
    </w:rPr>
  </w:style>
  <w:style w:type="paragraph" w:customStyle="1" w:styleId="11Subttulo1nvelDF">
    <w:name w:val="1.1 Subtítulo 1º nívelDF"/>
    <w:basedOn w:val="1TtuloprincipalDF"/>
    <w:qFormat/>
    <w:rsid w:val="00C423F0"/>
    <w:pPr>
      <w:numPr>
        <w:ilvl w:val="1"/>
      </w:numPr>
      <w:outlineLvl w:val="1"/>
    </w:pPr>
    <w:rPr>
      <w:sz w:val="24"/>
    </w:rPr>
  </w:style>
  <w:style w:type="paragraph" w:customStyle="1" w:styleId="111Subttulo2nvelDF">
    <w:name w:val="1.1.1 Subtítulo 2º nívelDF"/>
    <w:basedOn w:val="11Subttulo1nvelDF"/>
    <w:qFormat/>
    <w:rsid w:val="00C423F0"/>
    <w:pPr>
      <w:numPr>
        <w:ilvl w:val="2"/>
      </w:numPr>
      <w:outlineLvl w:val="2"/>
    </w:pPr>
    <w:rPr>
      <w:i/>
    </w:rPr>
  </w:style>
  <w:style w:type="paragraph" w:customStyle="1" w:styleId="1111Subttulo3nvelDF">
    <w:name w:val="1.1.1.1 Subtítulo 3º nívelDF"/>
    <w:basedOn w:val="111Subttulo2nvelDF"/>
    <w:qFormat/>
    <w:rsid w:val="00C423F0"/>
    <w:pPr>
      <w:numPr>
        <w:ilvl w:val="3"/>
      </w:numPr>
    </w:pPr>
    <w:rPr>
      <w:b w:val="0"/>
    </w:rPr>
  </w:style>
  <w:style w:type="paragraph" w:customStyle="1" w:styleId="Corpodotexto12Negrito">
    <w:name w:val="Corpo do texto 12  Negrito"/>
    <w:qFormat/>
    <w:rsid w:val="009D1D1C"/>
    <w:pPr>
      <w:numPr>
        <w:numId w:val="3"/>
      </w:numPr>
    </w:pPr>
    <w:rPr>
      <w:rFonts w:ascii="Times New Roman" w:eastAsia="Times New Roman" w:hAnsi="Times New Roman" w:cstheme="minorBidi"/>
      <w:b/>
      <w:sz w:val="24"/>
      <w:szCs w:val="22"/>
      <w:lang w:eastAsia="en-US"/>
    </w:rPr>
  </w:style>
  <w:style w:type="paragraph" w:customStyle="1" w:styleId="Corpodotexto12NegritoItlico">
    <w:name w:val="Corpo do texto 12 Negrito Itálico"/>
    <w:basedOn w:val="Corpodotexto12Negrito"/>
    <w:rsid w:val="009D1D1C"/>
    <w:pPr>
      <w:numPr>
        <w:ilvl w:val="1"/>
      </w:numPr>
    </w:pPr>
    <w:rPr>
      <w:i/>
    </w:rPr>
  </w:style>
  <w:style w:type="paragraph" w:customStyle="1" w:styleId="Corpodotexto12Itlico">
    <w:name w:val="Corpo do texto 12 Itálico"/>
    <w:basedOn w:val="Corpodotexto12NegritoItlico"/>
    <w:qFormat/>
    <w:rsid w:val="009D1D1C"/>
    <w:pPr>
      <w:numPr>
        <w:ilvl w:val="2"/>
      </w:numPr>
    </w:pPr>
    <w:rPr>
      <w:b w:val="0"/>
    </w:rPr>
  </w:style>
  <w:style w:type="paragraph" w:customStyle="1" w:styleId="Corpodotexto11Negrito">
    <w:name w:val="Corpo do texto 11 Negrito"/>
    <w:basedOn w:val="Normal"/>
    <w:qFormat/>
    <w:rsid w:val="009D1D1C"/>
    <w:pPr>
      <w:numPr>
        <w:ilvl w:val="3"/>
        <w:numId w:val="3"/>
      </w:numPr>
      <w:spacing w:after="0" w:line="240" w:lineRule="auto"/>
    </w:pPr>
    <w:rPr>
      <w:rFonts w:ascii="Times New Roman" w:eastAsiaTheme="minorHAnsi" w:hAnsi="Times New Roman"/>
      <w:b/>
      <w:szCs w:val="24"/>
      <w:lang w:val="en-US"/>
    </w:rPr>
  </w:style>
  <w:style w:type="paragraph" w:customStyle="1" w:styleId="Marcador1">
    <w:name w:val="Marcador1"/>
    <w:autoRedefine/>
    <w:rsid w:val="00005302"/>
    <w:pPr>
      <w:numPr>
        <w:numId w:val="6"/>
      </w:numPr>
      <w:spacing w:after="220"/>
    </w:pPr>
    <w:rPr>
      <w:rFonts w:ascii="Times New Roman" w:eastAsia="Times New Roman" w:hAnsi="Times New Roman"/>
      <w:sz w:val="22"/>
      <w:szCs w:val="28"/>
      <w:lang w:eastAsia="en-US"/>
    </w:rPr>
  </w:style>
  <w:style w:type="character" w:customStyle="1" w:styleId="apple-converted-space">
    <w:name w:val="apple-converted-space"/>
    <w:basedOn w:val="Fontepargpadro"/>
    <w:rsid w:val="001A4B18"/>
  </w:style>
  <w:style w:type="paragraph" w:styleId="Cabealho">
    <w:name w:val="header"/>
    <w:basedOn w:val="Normal"/>
    <w:link w:val="CabealhoChar"/>
    <w:uiPriority w:val="99"/>
    <w:unhideWhenUsed/>
    <w:rsid w:val="00EF551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F5515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EF551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F5515"/>
    <w:rPr>
      <w:sz w:val="22"/>
      <w:szCs w:val="22"/>
      <w:lang w:eastAsia="en-US"/>
    </w:rPr>
  </w:style>
  <w:style w:type="paragraph" w:customStyle="1" w:styleId="13Subttulo">
    <w:name w:val="13. Subtítulo"/>
    <w:basedOn w:val="Normal"/>
    <w:rsid w:val="00EF5515"/>
    <w:pPr>
      <w:spacing w:before="140" w:after="400" w:line="260" w:lineRule="atLeast"/>
      <w:ind w:hanging="720"/>
    </w:pPr>
    <w:rPr>
      <w:rFonts w:ascii="Times" w:eastAsia="Times New Roman" w:hAnsi="Times"/>
      <w:b/>
      <w:sz w:val="26"/>
      <w:szCs w:val="20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EC0DC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C0DC8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C0DC8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C0DC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C0DC8"/>
    <w:rPr>
      <w:b/>
      <w:bCs/>
      <w:lang w:eastAsia="en-US"/>
    </w:rPr>
  </w:style>
  <w:style w:type="paragraph" w:styleId="SemEspaamento">
    <w:name w:val="No Spacing"/>
    <w:qFormat/>
    <w:rsid w:val="00D929AC"/>
    <w:pPr>
      <w:suppressAutoHyphens/>
      <w:spacing w:after="0" w:line="240" w:lineRule="auto"/>
      <w:jc w:val="left"/>
    </w:pPr>
    <w:rPr>
      <w:sz w:val="22"/>
      <w:szCs w:val="22"/>
      <w:lang w:eastAsia="ar-SA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A2649E"/>
    <w:rPr>
      <w:rFonts w:ascii="Times New Roman" w:eastAsia="Times New Roman" w:hAnsi="Times New Roman"/>
      <w:szCs w:val="24"/>
    </w:rPr>
  </w:style>
  <w:style w:type="paragraph" w:styleId="Corpodetexto2">
    <w:name w:val="Body Text 2"/>
    <w:basedOn w:val="Normal"/>
    <w:link w:val="Corpodetexto2Char"/>
    <w:uiPriority w:val="99"/>
    <w:unhideWhenUsed/>
    <w:rsid w:val="00A2649E"/>
    <w:pPr>
      <w:suppressAutoHyphens/>
      <w:spacing w:after="120" w:line="480" w:lineRule="auto"/>
      <w:jc w:val="left"/>
    </w:pPr>
    <w:rPr>
      <w:rFonts w:ascii="Times New Roman" w:eastAsia="Times New Roman" w:hAnsi="Times New Roman"/>
      <w:sz w:val="20"/>
      <w:szCs w:val="24"/>
      <w:lang w:eastAsia="pt-BR"/>
    </w:rPr>
  </w:style>
  <w:style w:type="character" w:customStyle="1" w:styleId="Corpodetexto2Char1">
    <w:name w:val="Corpo de texto 2 Char1"/>
    <w:basedOn w:val="Fontepargpadro"/>
    <w:uiPriority w:val="99"/>
    <w:semiHidden/>
    <w:rsid w:val="00A2649E"/>
    <w:rPr>
      <w:sz w:val="22"/>
      <w:szCs w:val="22"/>
      <w:lang w:eastAsia="en-US"/>
    </w:rPr>
  </w:style>
  <w:style w:type="paragraph" w:customStyle="1" w:styleId="Default">
    <w:name w:val="Default"/>
    <w:rsid w:val="004871EC"/>
    <w:pPr>
      <w:autoSpaceDE w:val="0"/>
      <w:autoSpaceDN w:val="0"/>
      <w:adjustRightInd w:val="0"/>
      <w:spacing w:after="0" w:line="240" w:lineRule="auto"/>
      <w:jc w:val="left"/>
    </w:pPr>
    <w:rPr>
      <w:rFonts w:ascii="Times New Roman" w:hAnsi="Times New Roman"/>
      <w:color w:val="000000"/>
      <w:sz w:val="24"/>
      <w:szCs w:val="24"/>
    </w:rPr>
  </w:style>
  <w:style w:type="character" w:styleId="Forte">
    <w:name w:val="Strong"/>
    <w:basedOn w:val="Fontepargpadro"/>
    <w:uiPriority w:val="22"/>
    <w:qFormat/>
    <w:rsid w:val="006724F9"/>
    <w:rPr>
      <w:b/>
      <w:bCs/>
    </w:rPr>
  </w:style>
  <w:style w:type="character" w:styleId="nfase">
    <w:name w:val="Emphasis"/>
    <w:basedOn w:val="Fontepargpadro"/>
    <w:uiPriority w:val="20"/>
    <w:qFormat/>
    <w:rsid w:val="006724F9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6724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70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2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6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7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7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1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9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2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9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emf"/><Relationship Id="rId18" Type="http://schemas.openxmlformats.org/officeDocument/2006/relationships/image" Target="media/image6.emf"/><Relationship Id="rId26" Type="http://schemas.openxmlformats.org/officeDocument/2006/relationships/image" Target="media/image13.emf"/><Relationship Id="rId3" Type="http://schemas.openxmlformats.org/officeDocument/2006/relationships/styles" Target="styles.xml"/><Relationship Id="rId21" Type="http://schemas.openxmlformats.org/officeDocument/2006/relationships/image" Target="media/image8.emf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hyperlink" Target="http://captadores.org.br/estatuto/" TargetMode="External"/><Relationship Id="rId25" Type="http://schemas.openxmlformats.org/officeDocument/2006/relationships/image" Target="media/image12.emf"/><Relationship Id="rId2" Type="http://schemas.openxmlformats.org/officeDocument/2006/relationships/numbering" Target="numbering.xml"/><Relationship Id="rId16" Type="http://schemas.openxmlformats.org/officeDocument/2006/relationships/hyperlink" Target="http://captadores.org.br/conselho-deliberativo/" TargetMode="External"/><Relationship Id="rId20" Type="http://schemas.openxmlformats.org/officeDocument/2006/relationships/package" Target="embeddings/Microsoft_Excel_Worksheet.xlsx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24" Type="http://schemas.openxmlformats.org/officeDocument/2006/relationships/image" Target="media/image11.emf"/><Relationship Id="rId5" Type="http://schemas.openxmlformats.org/officeDocument/2006/relationships/webSettings" Target="webSettings.xml"/><Relationship Id="rId15" Type="http://schemas.openxmlformats.org/officeDocument/2006/relationships/hyperlink" Target="http://captadores.org.br/conselho-deliberativo/" TargetMode="External"/><Relationship Id="rId23" Type="http://schemas.openxmlformats.org/officeDocument/2006/relationships/image" Target="media/image10.emf"/><Relationship Id="rId28" Type="http://schemas.openxmlformats.org/officeDocument/2006/relationships/image" Target="media/image15.emf"/><Relationship Id="rId10" Type="http://schemas.openxmlformats.org/officeDocument/2006/relationships/image" Target="media/image2.emf"/><Relationship Id="rId19" Type="http://schemas.openxmlformats.org/officeDocument/2006/relationships/image" Target="media/image7.emf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captadores.org.br/codigo-de-etica/" TargetMode="External"/><Relationship Id="rId22" Type="http://schemas.openxmlformats.org/officeDocument/2006/relationships/image" Target="media/image9.emf"/><Relationship Id="rId27" Type="http://schemas.openxmlformats.org/officeDocument/2006/relationships/image" Target="media/image14.emf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E66271-E9C0-4585-870E-67D532365D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2082</Words>
  <Characters>11247</Characters>
  <Application>Microsoft Office Word</Application>
  <DocSecurity>0</DocSecurity>
  <Lines>93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RGP</dc:creator>
  <cp:lastModifiedBy>Mateus Yutaki Ferreira</cp:lastModifiedBy>
  <cp:revision>3</cp:revision>
  <cp:lastPrinted>2016-03-18T13:09:00Z</cp:lastPrinted>
  <dcterms:created xsi:type="dcterms:W3CDTF">2017-08-07T20:58:00Z</dcterms:created>
  <dcterms:modified xsi:type="dcterms:W3CDTF">2017-08-09T18:04:00Z</dcterms:modified>
</cp:coreProperties>
</file>